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3D484">
      <w:pPr>
        <w:pStyle w:val="15"/>
        <w:jc w:val="center"/>
        <w:rPr>
          <w:rFonts w:hint="eastAsia" w:ascii="仿宋_GB2312" w:eastAsia="仿宋_GB2312" w:hAnsiTheme="minorEastAsia"/>
          <w:b/>
          <w:bCs/>
          <w:sz w:val="32"/>
          <w:szCs w:val="32"/>
          <w:lang w:eastAsia="zh-CN"/>
        </w:rPr>
      </w:pPr>
      <w:r>
        <w:rPr>
          <w:rFonts w:hint="eastAsia" w:ascii="仿宋_GB2312" w:eastAsia="仿宋_GB2312" w:hAnsiTheme="minorEastAsia"/>
          <w:b/>
          <w:bCs/>
          <w:sz w:val="32"/>
          <w:szCs w:val="32"/>
          <w:lang w:eastAsia="zh-CN"/>
        </w:rPr>
        <w:t>《家用和类似用途 脚踏开门器》</w:t>
      </w:r>
    </w:p>
    <w:p w14:paraId="1F89FE49">
      <w:pPr>
        <w:pStyle w:val="15"/>
        <w:jc w:val="center"/>
        <w:rPr>
          <w:rFonts w:hint="eastAsia" w:ascii="仿宋_GB2312" w:eastAsia="仿宋_GB2312" w:hAnsiTheme="minorEastAsia"/>
          <w:b/>
          <w:bCs/>
          <w:sz w:val="32"/>
          <w:szCs w:val="32"/>
          <w:lang w:eastAsia="zh-CN"/>
        </w:rPr>
      </w:pPr>
      <w:r>
        <w:rPr>
          <w:rFonts w:hint="eastAsia" w:ascii="仿宋_GB2312" w:eastAsia="仿宋_GB2312" w:hAnsiTheme="minorEastAsia"/>
          <w:b/>
          <w:bCs/>
          <w:sz w:val="32"/>
          <w:szCs w:val="32"/>
          <w:lang w:eastAsia="zh-CN"/>
        </w:rPr>
        <w:t>编制说明（</w:t>
      </w:r>
      <w:r>
        <w:rPr>
          <w:rFonts w:hint="eastAsia" w:ascii="仿宋_GB2312" w:eastAsia="仿宋_GB2312" w:hAnsiTheme="minorEastAsia"/>
          <w:b/>
          <w:bCs/>
          <w:sz w:val="32"/>
          <w:szCs w:val="32"/>
          <w:lang w:val="en-US" w:eastAsia="zh-CN"/>
        </w:rPr>
        <w:t>征求意见稿</w:t>
      </w:r>
      <w:r>
        <w:rPr>
          <w:rFonts w:hint="eastAsia" w:ascii="仿宋_GB2312" w:eastAsia="仿宋_GB2312" w:hAnsiTheme="minorEastAsia"/>
          <w:b/>
          <w:bCs/>
          <w:sz w:val="32"/>
          <w:szCs w:val="32"/>
          <w:lang w:eastAsia="zh-CN"/>
        </w:rPr>
        <w:t>）</w:t>
      </w:r>
    </w:p>
    <w:p w14:paraId="4C2D665A">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任务来源及标准编制工作简介</w:t>
      </w:r>
    </w:p>
    <w:p w14:paraId="43596EDB">
      <w:pPr>
        <w:numPr>
          <w:ilvl w:val="0"/>
          <w:numId w:val="3"/>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任务来源</w:t>
      </w:r>
    </w:p>
    <w:p w14:paraId="2A03D98F">
      <w:pPr>
        <w:snapToGrid w:val="0"/>
        <w:ind w:firstLine="482"/>
        <w:rPr>
          <w:rFonts w:hint="eastAsia" w:ascii="仿宋_GB2312" w:eastAsia="仿宋_GB2312"/>
          <w:sz w:val="24"/>
        </w:rPr>
      </w:pPr>
      <w:r>
        <w:rPr>
          <w:rFonts w:hint="eastAsia" w:ascii="仿宋_GB2312" w:eastAsia="仿宋_GB2312"/>
          <w:sz w:val="24"/>
        </w:rPr>
        <w:t>为填补家用脚踏开门器领域标准空白，规范产品质量与市场秩序，中国五金制品协会于2026年3月25日正式下达团体标准立项批复（批复单号：2026-002），批准《家用及类似用途 脚踏开门器》团体标准制定项目立项（</w:t>
      </w:r>
      <w:r>
        <w:rPr>
          <w:rFonts w:hint="eastAsia" w:ascii="仿宋_GB2312" w:eastAsia="仿宋_GB2312"/>
          <w:sz w:val="24"/>
          <w:lang w:val="en-US" w:eastAsia="zh-CN"/>
        </w:rPr>
        <w:t>标准计划编号</w:t>
      </w:r>
      <w:r>
        <w:rPr>
          <w:rFonts w:hint="eastAsia" w:ascii="仿宋_GB2312" w:eastAsia="仿宋_GB2312"/>
          <w:sz w:val="24"/>
        </w:rPr>
        <w:t>：2026-</w:t>
      </w:r>
      <w:r>
        <w:rPr>
          <w:rFonts w:hint="eastAsia" w:ascii="仿宋_GB2312" w:eastAsia="仿宋_GB2312"/>
          <w:sz w:val="24"/>
          <w:lang w:val="en-US" w:eastAsia="zh-CN"/>
        </w:rPr>
        <w:t>T-</w:t>
      </w:r>
      <w:r>
        <w:rPr>
          <w:rFonts w:hint="eastAsia" w:ascii="仿宋_GB2312" w:eastAsia="仿宋_GB2312"/>
          <w:sz w:val="24"/>
        </w:rPr>
        <w:t>002）。</w:t>
      </w:r>
    </w:p>
    <w:p w14:paraId="2361CDA0">
      <w:pPr>
        <w:snapToGrid w:val="0"/>
        <w:ind w:firstLine="482"/>
        <w:rPr>
          <w:rFonts w:hint="eastAsia" w:ascii="仿宋_GB2312" w:eastAsia="仿宋_GB2312"/>
          <w:sz w:val="24"/>
        </w:rPr>
      </w:pPr>
      <w:r>
        <w:rPr>
          <w:rFonts w:hint="eastAsia" w:ascii="仿宋_GB2312" w:eastAsia="仿宋_GB2312"/>
          <w:sz w:val="24"/>
        </w:rPr>
        <w:t>本项目由海信冰箱有限公司、威凯认证检测有限公司联合牵头申报并负责起草</w:t>
      </w:r>
      <w:r>
        <w:rPr>
          <w:rFonts w:hint="eastAsia" w:ascii="仿宋_GB2312" w:eastAsia="仿宋_GB2312"/>
          <w:sz w:val="24"/>
          <w:lang w:eastAsia="zh-CN"/>
        </w:rPr>
        <w:t>，</w:t>
      </w:r>
      <w:r>
        <w:rPr>
          <w:rFonts w:hint="eastAsia" w:ascii="仿宋_GB2312" w:eastAsia="仿宋_GB2312"/>
          <w:sz w:val="24"/>
        </w:rPr>
        <w:t>项目计划执行周期为2026年3月</w:t>
      </w:r>
      <w:r>
        <w:rPr>
          <w:rFonts w:hint="eastAsia" w:ascii="仿宋_GB2312" w:eastAsia="仿宋_GB2312"/>
          <w:sz w:val="24"/>
          <w:lang w:val="en-US" w:eastAsia="zh-CN"/>
        </w:rPr>
        <w:t>-</w:t>
      </w:r>
      <w:r>
        <w:rPr>
          <w:rFonts w:hint="eastAsia" w:ascii="仿宋_GB2312" w:eastAsia="仿宋_GB2312"/>
          <w:sz w:val="24"/>
        </w:rPr>
        <w:t>2026年7月，标准由中国五金制品协会提出并归口。</w:t>
      </w:r>
    </w:p>
    <w:p w14:paraId="7F9AE926">
      <w:pPr>
        <w:numPr>
          <w:ilvl w:val="0"/>
          <w:numId w:val="3"/>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编制背景和目标</w:t>
      </w:r>
    </w:p>
    <w:p w14:paraId="75AC94FB">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脚踏开门器是安装在箱体、柜体底部或门体侧面，依靠脚踏方式实现开门的新型五金配件，具备操作便捷、适配适老化场景、解放双手等优势，广泛应用于家用柜体、制冷器具、家具、商业及工业设备等领域。</w:t>
      </w:r>
    </w:p>
    <w:p w14:paraId="3E6D4AD5">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目前该产品在国内外市场均处于快速发展阶段：欧美日韩等地区应用起步较早，主要配套老龄化家居与高端家居产品，但全球范围内暂无统一国际标准；国内伴随居家适老化改造、智能家居普及、健康生活理念推广，市场需求持续增长。由于国内长期缺乏专项技术规范与质量标准，行业准入门槛低，市场产品质量参差不齐，中低端产品普遍存在关键部件耐久性不足、踏板断裂、回弹失效、卡滞、耐腐蚀性能差等问题，极易引发夹伤、摔倒等安全事故，也导致售后纠纷频发，严重制约行业规范化发展。</w:t>
      </w:r>
    </w:p>
    <w:p w14:paraId="01D8142F">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本次制定团体标准，核心目标为：一是填补细分领域标准空白，建立适配脚踏开门器产品特性的完整评价体系；二是统一产品技术要求、试验方法、检验规则，为生产、采购、检测提供权威依据，淘汰劣质产品，引导市场良性竞争；三是强化产品安全与可靠性管控，防范使用风险，保障消费者人身安全与合法权益；四是推动行业技术升级与品质提升，增强国内产品综合竞争力，助力家用五金产业高质量、可持续发展。</w:t>
      </w:r>
    </w:p>
    <w:p w14:paraId="28088992">
      <w:pPr>
        <w:numPr>
          <w:ilvl w:val="0"/>
          <w:numId w:val="3"/>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主要工作过程</w:t>
      </w:r>
    </w:p>
    <w:p w14:paraId="353EBF13">
      <w:pPr>
        <w:snapToGrid w:val="0"/>
        <w:ind w:firstLine="482"/>
        <w:rPr>
          <w:rFonts w:hint="eastAsia" w:ascii="仿宋_GB2312" w:hAnsi="Times New Roman" w:eastAsia="仿宋_GB2312"/>
          <w:color w:val="000000" w:themeColor="text1"/>
          <w:sz w:val="24"/>
          <w:szCs w:val="24"/>
          <w:lang w:val="en-US" w:eastAsia="zh-CN"/>
        </w:rPr>
      </w:pPr>
      <w:r>
        <w:rPr>
          <w:rFonts w:hint="eastAsia" w:ascii="仿宋_GB2312" w:hAnsi="Times New Roman" w:eastAsia="仿宋_GB2312"/>
          <w:color w:val="000000" w:themeColor="text1"/>
          <w:sz w:val="24"/>
          <w:szCs w:val="24"/>
          <w:lang w:val="en-US" w:eastAsia="zh-CN"/>
        </w:rPr>
        <w:t>立项申报与批复阶段（2026年3月）：2026年3月，海信冰箱有限公司、威凯认证检测有限公司完成市场调研、国内外标准检索、产品技术梳理等前期工作，编制并提交《家用及类似用途脚踏开门器》团体标准项目建议书。中国五金制品协会组织审核后，于2026年3月25日正式出具立项批复单（批复单号：2026-002），项目准予立项，明确项目周期、牵头单位及工作要求。</w:t>
      </w:r>
    </w:p>
    <w:p w14:paraId="3206499E">
      <w:pPr>
        <w:snapToGrid w:val="0"/>
        <w:ind w:firstLine="482"/>
        <w:rPr>
          <w:rFonts w:hint="eastAsia" w:ascii="仿宋_GB2312" w:hAnsi="Times New Roman" w:eastAsia="仿宋_GB2312"/>
          <w:color w:val="000000" w:themeColor="text1"/>
          <w:sz w:val="24"/>
          <w:szCs w:val="24"/>
          <w:lang w:val="en-US" w:eastAsia="zh-CN"/>
        </w:rPr>
      </w:pPr>
      <w:r>
        <w:rPr>
          <w:rFonts w:hint="eastAsia" w:ascii="仿宋_GB2312" w:hAnsi="Times New Roman" w:eastAsia="仿宋_GB2312"/>
          <w:color w:val="000000" w:themeColor="text1"/>
          <w:sz w:val="24"/>
          <w:szCs w:val="24"/>
          <w:lang w:val="en-US" w:eastAsia="zh-CN"/>
        </w:rPr>
        <w:t>资料收集与框架搭建阶段（2026年3月下旬-4月）：标准起草工作组全面收集五金制品、门窗配件、金属材料、腐蚀试验、抽样检验、家用制冷器具安全等相关国标、国际标准及国外先进标准。严格依据GB/T 1.1—2020要求搭建标准整体架构，确定范围、规范性引用文件、术语和定义、技术要求、试验方法、检验规则、包装运输贮存等核心章节，梳理出通用要求、外观、耐腐蚀、尺寸公差、限位结构强度、安全性等9项核心技术内容。</w:t>
      </w:r>
    </w:p>
    <w:p w14:paraId="63FE4906">
      <w:pPr>
        <w:snapToGrid w:val="0"/>
        <w:ind w:firstLine="482"/>
        <w:rPr>
          <w:rFonts w:hint="eastAsia" w:ascii="仿宋_GB2312" w:hAnsi="Times New Roman" w:eastAsia="仿宋_GB2312"/>
          <w:color w:val="000000" w:themeColor="text1"/>
          <w:sz w:val="24"/>
          <w:szCs w:val="24"/>
          <w:lang w:val="en-US" w:eastAsia="zh-CN"/>
        </w:rPr>
      </w:pPr>
      <w:r>
        <w:rPr>
          <w:rFonts w:hint="eastAsia" w:ascii="仿宋_GB2312" w:hAnsi="Times New Roman" w:eastAsia="仿宋_GB2312"/>
          <w:color w:val="000000" w:themeColor="text1"/>
          <w:sz w:val="24"/>
          <w:szCs w:val="24"/>
          <w:lang w:val="en-US" w:eastAsia="zh-CN"/>
        </w:rPr>
        <w:t>草案编制、技术研讨与试验论证阶段（2026年4月-6月上旬）：工作组结合产品实际工况、市场质量痛点及立项建议书拟定的技术条目，逐条编制标准文本，覆盖材质、尺寸公差、装配性能、开启角度、极限强度、耐久性、落球冲击、安全性等全部技术指标。针对中性盐雾试验、10万次限位结构耐久性试验、1kg钢球落球冲击试验、人体安全模拟测试等关键试验方法开展多轮内部研讨与实操验证，确保指标科学、试验方法可落地、结果可复现，最终形成《家用及类似用途 脚踏开门器》标准讨论稿。</w:t>
      </w:r>
    </w:p>
    <w:p w14:paraId="1AFE8BD5">
      <w:pPr>
        <w:snapToGrid w:val="0"/>
        <w:ind w:firstLine="482"/>
        <w:rPr>
          <w:rFonts w:hint="eastAsia" w:ascii="仿宋_GB2312" w:hAnsi="Times New Roman" w:eastAsia="仿宋_GB2312"/>
          <w:color w:val="000000" w:themeColor="text1"/>
          <w:sz w:val="24"/>
          <w:szCs w:val="24"/>
          <w:lang w:val="en-US" w:eastAsia="zh-CN"/>
        </w:rPr>
      </w:pPr>
      <w:r>
        <w:rPr>
          <w:rFonts w:hint="eastAsia" w:ascii="仿宋_GB2312" w:hAnsi="Times New Roman" w:eastAsia="仿宋_GB2312"/>
          <w:color w:val="000000" w:themeColor="text1"/>
          <w:sz w:val="24"/>
          <w:szCs w:val="24"/>
          <w:lang w:val="en-US" w:eastAsia="zh-CN"/>
        </w:rPr>
        <w:t>后续工作计划：下一步将组织行业企业、检测机构、技术专家对讨论稿进行集中评审，面向全行业公开征求意见，汇总各方建议并完成条款修订，依次形成征求意见稿、送审稿、报批稿，严格按照2026年7月的计划周期完成标准发布工作。</w:t>
      </w:r>
    </w:p>
    <w:p w14:paraId="5153510C">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征求意见阶段：</w:t>
      </w:r>
    </w:p>
    <w:p w14:paraId="28C768F0">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审查阶段：</w:t>
      </w:r>
    </w:p>
    <w:p w14:paraId="58CA35FF">
      <w:pPr>
        <w:snapToGrid w:val="0"/>
        <w:ind w:firstLine="482"/>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报批阶段：</w:t>
      </w:r>
    </w:p>
    <w:p w14:paraId="340DB0E7">
      <w:pPr>
        <w:numPr>
          <w:ilvl w:val="0"/>
          <w:numId w:val="3"/>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主要起草单位及起草人所做的工作</w:t>
      </w:r>
    </w:p>
    <w:p w14:paraId="1982D7B2">
      <w:pPr>
        <w:snapToGrid w:val="0"/>
        <w:ind w:firstLine="480" w:firstLineChars="200"/>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本标准主要起草单位：海信冰箱有限公司、威凯认证检测有限公司、湖南省市场监督管理局缺陷产品召回服务中心、中国五金制品协会、青岛埃缔模塑有限公司、威凯检测技术有限公司、海信容声（广东）冰箱有限公司、青岛科技大学、广东工业大学、江苏玖星精密科技股份有限公司 、浙江精益汽车零部件有限公司、青岛海阔利特检测认证有限公司</w:t>
      </w:r>
      <w:r>
        <w:rPr>
          <w:rFonts w:hint="eastAsia" w:ascii="仿宋_GB2312" w:hAnsi="Times New Roman" w:eastAsia="仿宋_GB2312"/>
          <w:color w:val="000000" w:themeColor="text1"/>
          <w:sz w:val="24"/>
          <w:szCs w:val="24"/>
          <w:lang w:val="en-US" w:eastAsia="zh-CN"/>
        </w:rPr>
        <w:t>等</w:t>
      </w:r>
      <w:r>
        <w:rPr>
          <w:rFonts w:hint="eastAsia" w:ascii="仿宋_GB2312" w:hAnsi="Times New Roman" w:eastAsia="仿宋_GB2312"/>
          <w:color w:val="000000" w:themeColor="text1"/>
          <w:sz w:val="24"/>
          <w:szCs w:val="24"/>
        </w:rPr>
        <w:t>。</w:t>
      </w:r>
    </w:p>
    <w:p w14:paraId="22AC700F">
      <w:pPr>
        <w:snapToGrid w:val="0"/>
        <w:ind w:firstLine="480" w:firstLineChars="200"/>
        <w:rPr>
          <w:rFonts w:hint="default" w:ascii="仿宋_GB2312" w:hAnsi="Times New Roman" w:eastAsia="仿宋_GB2312"/>
          <w:color w:val="000000" w:themeColor="text1"/>
          <w:sz w:val="24"/>
          <w:szCs w:val="24"/>
          <w:lang w:val="en-US" w:eastAsia="zh-CN"/>
        </w:rPr>
      </w:pPr>
      <w:r>
        <w:rPr>
          <w:rFonts w:hint="eastAsia" w:ascii="仿宋_GB2312" w:hAnsi="Times New Roman" w:eastAsia="仿宋_GB2312"/>
          <w:color w:val="000000" w:themeColor="text1"/>
          <w:sz w:val="24"/>
          <w:szCs w:val="24"/>
        </w:rPr>
        <w:t>本标准主要起草人：</w:t>
      </w:r>
      <w:r>
        <w:rPr>
          <w:rFonts w:hint="eastAsia" w:ascii="仿宋_GB2312" w:hAnsi="Times New Roman" w:eastAsia="仿宋_GB2312"/>
          <w:color w:val="000000" w:themeColor="text1"/>
          <w:sz w:val="24"/>
          <w:szCs w:val="24"/>
          <w:lang w:val="en-US" w:eastAsia="zh-CN"/>
        </w:rPr>
        <w:t>潘迅、凌宏浩、李铁、邓琦、柳润峰、郭颖云、孙科、谢智伟、杨春、郭磊、李雯佳、涂伟、刘剑武、王传松等。</w:t>
      </w:r>
    </w:p>
    <w:p w14:paraId="73825A72">
      <w:pPr>
        <w:snapToGrid w:val="0"/>
        <w:ind w:firstLine="480" w:firstLineChars="200"/>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所做的工作：海信冰箱有限公司全程负责项目立项申报、市场调研、产品技术分析、标准框架设计、文本撰写、条款研讨及整体组织协调工作；威凯认证检测有限公司承担国内外标准检索、试验方案设计、检测方法验证、技术指标合理性校核、试验数据整理等技术支撑工作。两家单位密切配合，共同完成立项资料编制、标准草案编写、技术论证等全流程工作，保障项目有序推进。</w:t>
      </w:r>
    </w:p>
    <w:p w14:paraId="1B88026C">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标准编制原则及主要技术内容</w:t>
      </w:r>
    </w:p>
    <w:p w14:paraId="1E69C694">
      <w:pPr>
        <w:numPr>
          <w:ilvl w:val="0"/>
          <w:numId w:val="4"/>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标准制定原则</w:t>
      </w:r>
    </w:p>
    <w:p w14:paraId="62935674">
      <w:pPr>
        <w:autoSpaceDE w:val="0"/>
        <w:autoSpaceDN w:val="0"/>
        <w:adjustRightInd w:val="0"/>
        <w:snapToGrid w:val="0"/>
        <w:ind w:firstLine="480" w:firstLineChars="200"/>
        <w:jc w:val="left"/>
        <w:rPr>
          <w:rFonts w:hint="eastAsia" w:ascii="仿宋_GB2312" w:eastAsia="仿宋_GB2312" w:hAnsiTheme="majorEastAsia"/>
          <w:bCs/>
          <w:sz w:val="24"/>
          <w:szCs w:val="24"/>
        </w:rPr>
      </w:pPr>
      <w:r>
        <w:rPr>
          <w:rFonts w:hint="eastAsia" w:ascii="仿宋_GB2312" w:eastAsia="仿宋_GB2312" w:hAnsiTheme="majorEastAsia"/>
          <w:bCs/>
          <w:sz w:val="24"/>
          <w:szCs w:val="24"/>
        </w:rPr>
        <w:t>本标准严格按照GB/T 1.1—2020《标准化工作导则 第1部分：标准化文件的结构和起草规则》编制，文件格式、术语表述、章节设置均符合国家标准化编写规范。</w:t>
      </w:r>
    </w:p>
    <w:p w14:paraId="7E27A58C">
      <w:pPr>
        <w:autoSpaceDE w:val="0"/>
        <w:autoSpaceDN w:val="0"/>
        <w:adjustRightInd w:val="0"/>
        <w:snapToGrid w:val="0"/>
        <w:ind w:firstLine="480" w:firstLineChars="200"/>
        <w:jc w:val="left"/>
        <w:rPr>
          <w:rFonts w:hint="eastAsia" w:ascii="仿宋_GB2312" w:eastAsia="仿宋_GB2312" w:hAnsiTheme="majorEastAsia"/>
          <w:bCs/>
          <w:sz w:val="24"/>
          <w:szCs w:val="24"/>
        </w:rPr>
      </w:pPr>
      <w:r>
        <w:rPr>
          <w:rFonts w:hint="eastAsia" w:ascii="仿宋_GB2312" w:eastAsia="仿宋_GB2312" w:hAnsiTheme="majorEastAsia"/>
          <w:bCs/>
          <w:sz w:val="24"/>
          <w:szCs w:val="24"/>
        </w:rPr>
        <w:t>在编制标准过程中，标准工作组充分考虑到标准之间的一致性和协调性，全面衔接现行有效国家标准、行业标准、国际标准及国外先进标准，引用 GB/T 2828.1</w:t>
      </w:r>
      <w:r>
        <w:rPr>
          <w:rFonts w:hint="eastAsia" w:ascii="仿宋_GB2312" w:eastAsia="仿宋_GB2312" w:hAnsiTheme="majorEastAsia"/>
          <w:bCs/>
          <w:sz w:val="24"/>
          <w:szCs w:val="24"/>
          <w:lang w:eastAsia="zh-CN"/>
        </w:rPr>
        <w:t>《计数抽样检验程序 第1部分：按接收质量限（AQL）检索的逐批检验抽样计划》</w:t>
      </w:r>
      <w:r>
        <w:rPr>
          <w:rFonts w:hint="eastAsia" w:ascii="仿宋_GB2312" w:eastAsia="仿宋_GB2312" w:hAnsiTheme="majorEastAsia"/>
          <w:bCs/>
          <w:sz w:val="24"/>
          <w:szCs w:val="24"/>
        </w:rPr>
        <w:t>、GB/T 2829</w:t>
      </w:r>
      <w:r>
        <w:rPr>
          <w:rFonts w:hint="eastAsia" w:ascii="仿宋_GB2312" w:eastAsia="仿宋_GB2312" w:hAnsiTheme="majorEastAsia"/>
          <w:bCs/>
          <w:sz w:val="24"/>
          <w:szCs w:val="24"/>
          <w:lang w:eastAsia="zh-CN"/>
        </w:rPr>
        <w:t>《周期检验计数抽样程序及抽样表（适用于生产过程稳定性的检查）》</w:t>
      </w:r>
      <w:r>
        <w:rPr>
          <w:rFonts w:hint="eastAsia" w:ascii="仿宋_GB2312" w:eastAsia="仿宋_GB2312" w:hAnsiTheme="majorEastAsia"/>
          <w:bCs/>
          <w:sz w:val="24"/>
          <w:szCs w:val="24"/>
        </w:rPr>
        <w:t>、GB/T 10125</w:t>
      </w:r>
      <w:r>
        <w:rPr>
          <w:rFonts w:hint="eastAsia" w:ascii="仿宋_GB2312" w:eastAsia="仿宋_GB2312" w:hAnsiTheme="majorEastAsia"/>
          <w:bCs/>
          <w:sz w:val="24"/>
          <w:szCs w:val="24"/>
          <w:lang w:eastAsia="zh-CN"/>
        </w:rPr>
        <w:t>《人造气氛腐蚀试验 盐雾试验》</w:t>
      </w:r>
      <w:r>
        <w:rPr>
          <w:rFonts w:hint="eastAsia" w:ascii="仿宋_GB2312" w:eastAsia="仿宋_GB2312" w:hAnsiTheme="majorEastAsia"/>
          <w:bCs/>
          <w:sz w:val="24"/>
          <w:szCs w:val="24"/>
        </w:rPr>
        <w:t>、IEC 60335-2-24</w:t>
      </w:r>
      <w:r>
        <w:rPr>
          <w:rFonts w:hint="eastAsia" w:ascii="仿宋_GB2312" w:eastAsia="仿宋_GB2312" w:hAnsiTheme="majorEastAsia"/>
          <w:bCs/>
          <w:sz w:val="24"/>
          <w:szCs w:val="24"/>
          <w:lang w:eastAsia="zh-CN"/>
        </w:rPr>
        <w:t>《家用制冷器具国际安全标准》</w:t>
      </w:r>
      <w:r>
        <w:rPr>
          <w:rFonts w:hint="eastAsia" w:ascii="仿宋_GB2312" w:eastAsia="仿宋_GB2312" w:hAnsiTheme="majorEastAsia"/>
          <w:bCs/>
          <w:sz w:val="24"/>
          <w:szCs w:val="24"/>
        </w:rPr>
        <w:t>、UL 250</w:t>
      </w:r>
      <w:r>
        <w:rPr>
          <w:rFonts w:hint="eastAsia" w:ascii="仿宋_GB2312" w:eastAsia="仿宋_GB2312" w:hAnsiTheme="majorEastAsia"/>
          <w:bCs/>
          <w:sz w:val="24"/>
          <w:szCs w:val="24"/>
          <w:lang w:eastAsia="zh-CN"/>
        </w:rPr>
        <w:t>《家用冷藏箱和冷冻箱》</w:t>
      </w:r>
      <w:r>
        <w:rPr>
          <w:rFonts w:hint="eastAsia" w:ascii="仿宋_GB2312" w:eastAsia="仿宋_GB2312" w:hAnsiTheme="majorEastAsia"/>
          <w:bCs/>
          <w:sz w:val="24"/>
          <w:szCs w:val="24"/>
        </w:rPr>
        <w:t>等相关文件，与现有法律法规、基础标准、产品安全标准无冲突，保证标准体系协调统一。</w:t>
      </w:r>
    </w:p>
    <w:p w14:paraId="11B1D648">
      <w:pPr>
        <w:autoSpaceDE w:val="0"/>
        <w:autoSpaceDN w:val="0"/>
        <w:adjustRightInd w:val="0"/>
        <w:snapToGrid w:val="0"/>
        <w:ind w:firstLine="480" w:firstLineChars="200"/>
        <w:jc w:val="left"/>
        <w:rPr>
          <w:rFonts w:hint="eastAsia" w:ascii="仿宋_GB2312" w:eastAsia="仿宋_GB2312" w:hAnsiTheme="majorEastAsia"/>
          <w:bCs/>
          <w:sz w:val="24"/>
          <w:szCs w:val="24"/>
        </w:rPr>
      </w:pPr>
      <w:r>
        <w:rPr>
          <w:rFonts w:hint="eastAsia" w:ascii="仿宋_GB2312" w:eastAsia="仿宋_GB2312" w:hAnsiTheme="majorEastAsia"/>
          <w:bCs/>
          <w:sz w:val="24"/>
          <w:szCs w:val="24"/>
        </w:rPr>
        <w:t>本标准的技术要求涉及的内容均为目前行业的技术水平所认同和接受，兼顾科学性、可操作性和通用性，贴合实际生产和使用场景。</w:t>
      </w:r>
      <w:r>
        <w:rPr>
          <w:rFonts w:hint="eastAsia" w:ascii="仿宋_GB2312" w:eastAsia="仿宋_GB2312" w:hAnsiTheme="majorEastAsia"/>
          <w:bCs/>
          <w:sz w:val="24"/>
          <w:szCs w:val="24"/>
          <w:lang w:val="en-US" w:eastAsia="zh-CN"/>
        </w:rPr>
        <w:t>一方面，</w:t>
      </w:r>
      <w:r>
        <w:rPr>
          <w:rFonts w:hint="eastAsia" w:ascii="仿宋_GB2312" w:eastAsia="仿宋_GB2312" w:hAnsiTheme="majorEastAsia"/>
          <w:bCs/>
          <w:sz w:val="24"/>
          <w:szCs w:val="24"/>
        </w:rPr>
        <w:t>立足国内行业现有生产工艺、技术水平和多场景应用需求设定技术指标，兼顾不同品类产品的通用性；</w:t>
      </w:r>
      <w:r>
        <w:rPr>
          <w:rFonts w:hint="eastAsia" w:ascii="仿宋_GB2312" w:eastAsia="仿宋_GB2312" w:hAnsiTheme="majorEastAsia"/>
          <w:bCs/>
          <w:sz w:val="24"/>
          <w:szCs w:val="24"/>
          <w:lang w:val="en-US" w:eastAsia="zh-CN"/>
        </w:rPr>
        <w:t>另一方面，</w:t>
      </w:r>
      <w:r>
        <w:rPr>
          <w:rFonts w:hint="eastAsia" w:ascii="仿宋_GB2312" w:eastAsia="仿宋_GB2312" w:hAnsiTheme="majorEastAsia"/>
          <w:bCs/>
          <w:sz w:val="24"/>
          <w:szCs w:val="24"/>
        </w:rPr>
        <w:t>所有试验方法均经过实操验证，平衡质量管控要求与企业生产实际，做到指标合理、操作简便、易于检测。</w:t>
      </w:r>
      <w:r>
        <w:rPr>
          <w:rFonts w:hint="eastAsia" w:ascii="仿宋_GB2312" w:eastAsia="仿宋_GB2312" w:hAnsiTheme="majorEastAsia"/>
          <w:bCs/>
          <w:sz w:val="24"/>
          <w:szCs w:val="24"/>
          <w:lang w:val="en-US" w:eastAsia="zh-CN"/>
        </w:rPr>
        <w:t>此外，</w:t>
      </w:r>
      <w:r>
        <w:rPr>
          <w:rFonts w:hint="eastAsia" w:ascii="仿宋_GB2312" w:eastAsia="仿宋_GB2312" w:hAnsiTheme="majorEastAsia"/>
          <w:bCs/>
          <w:sz w:val="24"/>
          <w:szCs w:val="24"/>
        </w:rPr>
        <w:t>针对产品断裂、回弹失控、夹伤人体等安全风险设置专项管控要求，将使用安全性、结构可靠性作为核心编制导向，全方位守护终端使用者安全。</w:t>
      </w:r>
    </w:p>
    <w:p w14:paraId="54957E96">
      <w:pPr>
        <w:numPr>
          <w:ilvl w:val="0"/>
          <w:numId w:val="4"/>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主要技术内容</w:t>
      </w:r>
    </w:p>
    <w:p w14:paraId="3E3B6338">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lang w:eastAsia="zh-CN"/>
        </w:rPr>
      </w:pPr>
      <w:r>
        <w:rPr>
          <w:rFonts w:hint="eastAsia" w:ascii="仿宋_GB2312" w:eastAsia="仿宋_GB2312" w:hAnsiTheme="minorEastAsia"/>
          <w:b/>
          <w:bCs w:val="0"/>
          <w:sz w:val="24"/>
          <w:szCs w:val="24"/>
        </w:rPr>
        <w:t>范围</w:t>
      </w:r>
    </w:p>
    <w:p w14:paraId="47758F66">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本文件规定了家用及类似用途脚踏开门器的术语和定义、技术要求、试验方法、检验规则、包装、运输和贮存要求。</w:t>
      </w:r>
    </w:p>
    <w:p w14:paraId="4D34E18D">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适用于安装在箱体、柜体底部、门体侧面的家用及类似用途脚踏开门器，工业、商业、家具等特殊场景使用的同类产品可参照执行。</w:t>
      </w:r>
    </w:p>
    <w:p w14:paraId="780D2DA7">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lang w:eastAsia="zh-CN"/>
        </w:rPr>
      </w:pPr>
      <w:r>
        <w:rPr>
          <w:rFonts w:hint="eastAsia" w:ascii="仿宋_GB2312" w:eastAsia="仿宋_GB2312" w:hAnsiTheme="minorEastAsia"/>
          <w:b/>
          <w:bCs w:val="0"/>
          <w:sz w:val="24"/>
          <w:szCs w:val="24"/>
        </w:rPr>
        <w:t>规范性引用文件</w:t>
      </w:r>
    </w:p>
    <w:p w14:paraId="31C8B23C">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rPr>
        <w:t>包含计数抽样、金属覆盖层、盐雾腐蚀、压铸合金、家用制冷器具安全等国标、IEC国际标准及UL相关国外标准，为技术要求与试验方法提供依据。</w:t>
      </w:r>
      <w:r>
        <w:rPr>
          <w:rFonts w:hint="eastAsia" w:ascii="仿宋_GB2312" w:eastAsia="仿宋_GB2312" w:hAnsiTheme="minorEastAsia"/>
          <w:bCs/>
          <w:sz w:val="24"/>
          <w:szCs w:val="24"/>
          <w:lang w:val="en-US" w:eastAsia="zh-CN"/>
        </w:rPr>
        <w:t>具体如下：</w:t>
      </w:r>
    </w:p>
    <w:p w14:paraId="76D120C8">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2100 通用耐蚀钢铸件</w:t>
      </w:r>
    </w:p>
    <w:p w14:paraId="343FD12A">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2828.1  计数抽样检验程序 第1部分：按接收质量限（AQL）检索的逐批检验抽样计划</w:t>
      </w:r>
    </w:p>
    <w:p w14:paraId="150EF617">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2829  周期检验计数抽样程序及抽样表（适用于生产过程稳定性的检查）</w:t>
      </w:r>
    </w:p>
    <w:p w14:paraId="25B1C30F">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4955 金属覆盖层  覆盖层厚度测量  阳极溶解库仑法</w:t>
      </w:r>
    </w:p>
    <w:p w14:paraId="597C0FEF">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5270 金属基体上的金属覆盖层 电沉积和化学沉积层 附着强度试验方法评述</w:t>
      </w:r>
    </w:p>
    <w:p w14:paraId="73AB701A">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10125  人造气氛腐蚀试验 盐雾试验</w:t>
      </w:r>
    </w:p>
    <w:p w14:paraId="70434B67">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13821  锌合金压铸件</w:t>
      </w:r>
    </w:p>
    <w:p w14:paraId="7F4024AE">
      <w:pPr>
        <w:autoSpaceDE w:val="0"/>
        <w:autoSpaceDN w:val="0"/>
        <w:adjustRightInd w:val="0"/>
        <w:snapToGrid w:val="0"/>
        <w:ind w:firstLine="480" w:firstLineChars="200"/>
        <w:jc w:val="left"/>
        <w:rPr>
          <w:rFonts w:hint="eastAsia" w:ascii="仿宋_GB2312" w:eastAsia="仿宋_GB2312" w:hAnsiTheme="minorEastAsia"/>
          <w:bCs/>
          <w:sz w:val="24"/>
          <w:szCs w:val="24"/>
          <w:lang w:val="en-US" w:eastAsia="zh-CN"/>
        </w:rPr>
      </w:pPr>
      <w:r>
        <w:rPr>
          <w:rFonts w:hint="eastAsia" w:ascii="仿宋_GB2312" w:eastAsia="仿宋_GB2312" w:hAnsiTheme="minorEastAsia"/>
          <w:bCs/>
          <w:sz w:val="24"/>
          <w:szCs w:val="24"/>
          <w:lang w:val="en-US" w:eastAsia="zh-CN"/>
        </w:rPr>
        <w:t>GB/T 15114  铝合金压铸件</w:t>
      </w:r>
    </w:p>
    <w:p w14:paraId="0927026B">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rPr>
      </w:pPr>
      <w:bookmarkStart w:id="1" w:name="_GoBack"/>
      <w:bookmarkEnd w:id="1"/>
      <w:r>
        <w:rPr>
          <w:rFonts w:hint="eastAsia" w:ascii="仿宋_GB2312" w:eastAsia="仿宋_GB2312" w:hAnsiTheme="minorEastAsia"/>
          <w:b/>
          <w:bCs w:val="0"/>
          <w:sz w:val="24"/>
          <w:szCs w:val="24"/>
        </w:rPr>
        <w:t>术语和定义</w:t>
      </w:r>
    </w:p>
    <w:p w14:paraId="1090788A">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明确脚踏开门器、传动部件、顶门部件的定义，说明产品组成（踏板、传动部件、顶门部件、固定座）与基本功能，统一行业术语口径。</w:t>
      </w:r>
    </w:p>
    <w:p w14:paraId="3E41C06E">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rPr>
      </w:pPr>
      <w:r>
        <w:rPr>
          <w:rFonts w:hint="eastAsia" w:ascii="仿宋_GB2312" w:eastAsia="仿宋_GB2312" w:hAnsiTheme="minorEastAsia"/>
          <w:b/>
          <w:bCs w:val="0"/>
          <w:sz w:val="24"/>
          <w:szCs w:val="24"/>
        </w:rPr>
        <w:t>技术要求</w:t>
      </w:r>
    </w:p>
    <w:p w14:paraId="27BD062D">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依据立项规划，完整设置</w:t>
      </w:r>
      <w:r>
        <w:rPr>
          <w:rFonts w:hint="eastAsia" w:ascii="仿宋_GB2312" w:eastAsia="仿宋_GB2312" w:hAnsiTheme="minorEastAsia"/>
          <w:bCs/>
          <w:sz w:val="24"/>
          <w:szCs w:val="24"/>
          <w:lang w:val="en-US" w:eastAsia="zh-CN"/>
        </w:rPr>
        <w:t>9</w:t>
      </w:r>
      <w:r>
        <w:rPr>
          <w:rFonts w:hint="eastAsia" w:ascii="仿宋_GB2312" w:eastAsia="仿宋_GB2312" w:hAnsiTheme="minorEastAsia"/>
          <w:bCs/>
          <w:sz w:val="24"/>
          <w:szCs w:val="24"/>
        </w:rPr>
        <w:t>项核心技术要求：通用材质要求、外观要求、耐腐蚀性、尺寸与公差、装配质量、最大开启角度、限位结构强度、落球冲击、使用安全性。</w:t>
      </w:r>
    </w:p>
    <w:p w14:paraId="0B13C83D">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关键指标要求：产品主材为铝合金、不锈钢、锌合金等；盐雾试验后保护评级不低于6级；门体最大开启角度＞95°；限位结构经10万次循环试验无失效、变形；1kg钢球自0.7m高度冲击踏板后无开裂、脱落；触碰踏板可顺利收回，无划伤风险。</w:t>
      </w:r>
    </w:p>
    <w:p w14:paraId="694EA308">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rPr>
      </w:pPr>
      <w:r>
        <w:rPr>
          <w:rFonts w:hint="eastAsia" w:ascii="仿宋_GB2312" w:eastAsia="仿宋_GB2312" w:hAnsiTheme="minorEastAsia"/>
          <w:b/>
          <w:bCs w:val="0"/>
          <w:sz w:val="24"/>
          <w:szCs w:val="24"/>
        </w:rPr>
        <w:t>试验方法</w:t>
      </w:r>
    </w:p>
    <w:p w14:paraId="30AF4893">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统一基础试验环境：温度20℃±5℃，相对湿度65％±20%。针对每一项技术要求匹配对应的试验流程、设备、参数与判定规则，明确外观检测照度、盐雾试验周期、耐久性循环方式、落球冲击参数、安全模拟试验方法等，保障试验结果准确、可重复。</w:t>
      </w:r>
    </w:p>
    <w:p w14:paraId="27672642">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rPr>
      </w:pPr>
      <w:r>
        <w:rPr>
          <w:rFonts w:hint="eastAsia" w:ascii="仿宋_GB2312" w:eastAsia="仿宋_GB2312" w:hAnsiTheme="minorEastAsia"/>
          <w:b/>
          <w:bCs w:val="0"/>
          <w:sz w:val="24"/>
          <w:szCs w:val="24"/>
        </w:rPr>
        <w:t>检验规则</w:t>
      </w:r>
    </w:p>
    <w:p w14:paraId="7DBA0FAF">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分为进货检验、质量检验、型式检验三类：</w:t>
      </w:r>
    </w:p>
    <w:p w14:paraId="6B9901BE">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进货检验：对外观、耐腐蚀性、尺寸公差按批次抽检；</w:t>
      </w:r>
    </w:p>
    <w:p w14:paraId="7BC1EDD8">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质量检验：对装配质量、开启角度、结构强度、抗冲击、安全性定期抽检；</w:t>
      </w:r>
    </w:p>
    <w:p w14:paraId="60E284DC">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型式检验：覆盖全部技术项目，依据 GB/T 2829 执行抽样判定，并明确启动情形（新供应商、材料/工艺变更、停产复工、年度检验、检验结果异常等）及不合格复检规则。</w:t>
      </w:r>
    </w:p>
    <w:p w14:paraId="09C977BA">
      <w:pPr>
        <w:numPr>
          <w:ilvl w:val="0"/>
          <w:numId w:val="5"/>
        </w:numPr>
        <w:autoSpaceDE w:val="0"/>
        <w:autoSpaceDN w:val="0"/>
        <w:adjustRightInd w:val="0"/>
        <w:snapToGrid w:val="0"/>
        <w:ind w:left="425" w:leftChars="0" w:hanging="425" w:firstLineChars="0"/>
        <w:jc w:val="left"/>
        <w:rPr>
          <w:rFonts w:hint="eastAsia" w:ascii="仿宋_GB2312" w:eastAsia="仿宋_GB2312" w:hAnsiTheme="minorEastAsia"/>
          <w:b/>
          <w:bCs w:val="0"/>
          <w:sz w:val="24"/>
          <w:szCs w:val="24"/>
        </w:rPr>
      </w:pPr>
      <w:r>
        <w:rPr>
          <w:rFonts w:hint="eastAsia" w:ascii="仿宋_GB2312" w:eastAsia="仿宋_GB2312" w:hAnsiTheme="minorEastAsia"/>
          <w:b/>
          <w:bCs w:val="0"/>
          <w:sz w:val="24"/>
          <w:szCs w:val="24"/>
        </w:rPr>
        <w:t>包装、运输和贮存</w:t>
      </w:r>
    </w:p>
    <w:p w14:paraId="68CA4734">
      <w:pPr>
        <w:autoSpaceDE w:val="0"/>
        <w:autoSpaceDN w:val="0"/>
        <w:adjustRightInd w:val="0"/>
        <w:snapToGrid w:val="0"/>
        <w:ind w:firstLine="480" w:firstLineChars="200"/>
        <w:jc w:val="left"/>
        <w:rPr>
          <w:rFonts w:hint="eastAsia" w:ascii="仿宋_GB2312" w:eastAsia="仿宋_GB2312" w:hAnsiTheme="minorEastAsia"/>
          <w:bCs/>
          <w:sz w:val="24"/>
          <w:szCs w:val="24"/>
        </w:rPr>
      </w:pPr>
      <w:r>
        <w:rPr>
          <w:rFonts w:hint="eastAsia" w:ascii="仿宋_GB2312" w:eastAsia="仿宋_GB2312" w:hAnsiTheme="minorEastAsia"/>
          <w:bCs/>
          <w:sz w:val="24"/>
          <w:szCs w:val="24"/>
        </w:rPr>
        <w:t>产品须附带质量合格证明，采用纸箱/木箱独立包装；运输避免雨淋、撞击；贮存环境保持通风干燥，远离腐蚀性介质。</w:t>
      </w:r>
    </w:p>
    <w:p w14:paraId="5100E92A">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主要试验验证情况</w:t>
      </w:r>
    </w:p>
    <w:p w14:paraId="20C83EA0">
      <w:pPr>
        <w:numPr>
          <w:ilvl w:val="0"/>
          <w:numId w:val="6"/>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主要试验的分析、综述报告</w:t>
      </w:r>
    </w:p>
    <w:p w14:paraId="32419C38">
      <w:pPr>
        <w:snapToGrid w:val="0"/>
        <w:ind w:firstLine="480" w:firstLineChars="200"/>
        <w:rPr>
          <w:rFonts w:hint="eastAsia" w:ascii="仿宋_GB2312" w:eastAsia="仿宋_GB2312" w:hAnsiTheme="majorEastAsia"/>
          <w:bCs/>
          <w:sz w:val="24"/>
          <w:szCs w:val="24"/>
        </w:rPr>
      </w:pPr>
      <w:r>
        <w:rPr>
          <w:rFonts w:hint="eastAsia" w:ascii="仿宋_GB2312" w:eastAsia="仿宋_GB2312" w:hAnsiTheme="majorEastAsia"/>
          <w:bCs/>
          <w:sz w:val="24"/>
          <w:szCs w:val="24"/>
        </w:rPr>
        <w:t>标准编制期间，工作组选取行业主流产品，对耐腐蚀性、10万次限位结构强度、落球冲击、开启角度、装配性能、安全性等关键项目开展多组摸底试验与验证</w:t>
      </w:r>
      <w:r>
        <w:rPr>
          <w:rFonts w:hint="eastAsia" w:ascii="仿宋_GB2312" w:eastAsia="仿宋_GB2312" w:hAnsiTheme="majorEastAsia"/>
          <w:bCs/>
          <w:sz w:val="24"/>
          <w:szCs w:val="24"/>
          <w:lang w:eastAsia="zh-CN"/>
        </w:rPr>
        <w:t>，</w:t>
      </w:r>
      <w:r>
        <w:rPr>
          <w:rFonts w:hint="eastAsia" w:ascii="仿宋_GB2312" w:eastAsia="仿宋_GB2312" w:hAnsiTheme="majorEastAsia"/>
          <w:bCs/>
          <w:sz w:val="24"/>
          <w:szCs w:val="24"/>
        </w:rPr>
        <w:t>各项</w:t>
      </w:r>
      <w:r>
        <w:rPr>
          <w:rFonts w:hint="eastAsia" w:ascii="仿宋_GB2312" w:eastAsia="仿宋_GB2312" w:hAnsiTheme="majorEastAsia"/>
          <w:bCs/>
          <w:sz w:val="24"/>
          <w:szCs w:val="24"/>
          <w:lang w:val="en-US" w:eastAsia="zh-CN"/>
        </w:rPr>
        <w:t>试验结果为</w:t>
      </w:r>
      <w:r>
        <w:rPr>
          <w:rFonts w:hint="eastAsia" w:ascii="仿宋_GB2312" w:eastAsia="仿宋_GB2312" w:hAnsiTheme="majorEastAsia"/>
          <w:bCs/>
          <w:sz w:val="24"/>
          <w:szCs w:val="24"/>
        </w:rPr>
        <w:t>标准指标</w:t>
      </w:r>
      <w:r>
        <w:rPr>
          <w:rFonts w:hint="eastAsia" w:ascii="仿宋_GB2312" w:eastAsia="仿宋_GB2312" w:hAnsiTheme="majorEastAsia"/>
          <w:bCs/>
          <w:sz w:val="24"/>
          <w:szCs w:val="24"/>
          <w:lang w:val="en-US" w:eastAsia="zh-CN"/>
        </w:rPr>
        <w:t>设定提供支撑</w:t>
      </w:r>
      <w:r>
        <w:rPr>
          <w:rFonts w:hint="eastAsia" w:ascii="仿宋_GB2312" w:eastAsia="仿宋_GB2312" w:hAnsiTheme="majorEastAsia"/>
          <w:bCs/>
          <w:sz w:val="24"/>
          <w:szCs w:val="24"/>
        </w:rPr>
        <w:t>。</w:t>
      </w:r>
    </w:p>
    <w:p w14:paraId="139324B5">
      <w:pPr>
        <w:snapToGrid w:val="0"/>
        <w:ind w:firstLine="480" w:firstLineChars="200"/>
        <w:rPr>
          <w:rFonts w:hint="eastAsia" w:ascii="仿宋_GB2312" w:eastAsia="仿宋_GB2312" w:hAnsiTheme="majorEastAsia"/>
          <w:bCs/>
          <w:sz w:val="24"/>
          <w:szCs w:val="24"/>
        </w:rPr>
      </w:pPr>
      <w:r>
        <w:rPr>
          <w:rFonts w:hint="eastAsia" w:ascii="仿宋_GB2312" w:eastAsia="仿宋_GB2312" w:hAnsiTheme="majorEastAsia"/>
          <w:bCs/>
          <w:sz w:val="24"/>
          <w:szCs w:val="24"/>
        </w:rPr>
        <w:t>验证结果表明：本标准拟定的技术指标贴合当前行业产品实际性能水平，试验方法流程清晰、可操作性强，能够客观、准确评价产品质量，指标限值科学合理。</w:t>
      </w:r>
    </w:p>
    <w:p w14:paraId="07947348">
      <w:pPr>
        <w:numPr>
          <w:ilvl w:val="0"/>
          <w:numId w:val="6"/>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在标准体系中的位置，与现行相关法律、法规、规章及标准，特别是强制性标准的协调性</w:t>
      </w:r>
    </w:p>
    <w:p w14:paraId="6F2621FC">
      <w:pPr>
        <w:autoSpaceDE w:val="0"/>
        <w:autoSpaceDN w:val="0"/>
        <w:snapToGrid w:val="0"/>
        <w:ind w:firstLine="480" w:firstLineChars="200"/>
        <w:jc w:val="left"/>
        <w:rPr>
          <w:rFonts w:hint="eastAsia" w:ascii="仿宋_GB2312" w:hAnsi="Times New Roman" w:eastAsia="仿宋_GB2312"/>
          <w:color w:val="000000" w:themeColor="text1"/>
          <w:sz w:val="24"/>
          <w:szCs w:val="24"/>
        </w:rPr>
      </w:pPr>
      <w:r>
        <w:rPr>
          <w:rFonts w:hint="eastAsia" w:ascii="仿宋_GB2312" w:hAnsi="Times New Roman" w:eastAsia="仿宋_GB2312"/>
          <w:color w:val="000000" w:themeColor="text1"/>
          <w:sz w:val="24"/>
          <w:szCs w:val="24"/>
        </w:rPr>
        <w:t>本标准属于</w:t>
      </w:r>
      <w:r>
        <w:rPr>
          <w:rFonts w:hint="eastAsia" w:ascii="仿宋_GB2312" w:hAnsi="Times New Roman" w:eastAsia="仿宋_GB2312"/>
          <w:color w:val="000000" w:themeColor="text1"/>
          <w:sz w:val="24"/>
          <w:szCs w:val="24"/>
          <w:lang w:eastAsia="zh-CN"/>
        </w:rPr>
        <w:t>“</w:t>
      </w:r>
      <w:r>
        <w:rPr>
          <w:rFonts w:hint="eastAsia" w:ascii="仿宋_GB2312" w:hAnsi="Times New Roman" w:eastAsia="仿宋_GB2312"/>
          <w:color w:val="000000" w:themeColor="text1"/>
          <w:sz w:val="24"/>
          <w:szCs w:val="24"/>
          <w:lang w:val="en-US" w:eastAsia="zh-CN"/>
        </w:rPr>
        <w:t>03</w:t>
      </w:r>
      <w:r>
        <w:rPr>
          <w:rFonts w:hint="eastAsia" w:ascii="仿宋_GB2312" w:hAnsi="Times New Roman" w:eastAsia="仿宋_GB2312"/>
          <w:color w:val="000000" w:themeColor="text1"/>
          <w:sz w:val="24"/>
          <w:szCs w:val="24"/>
        </w:rPr>
        <w:t>建筑五金</w:t>
      </w:r>
      <w:r>
        <w:rPr>
          <w:rFonts w:hint="eastAsia" w:ascii="仿宋_GB2312" w:hAnsi="Times New Roman" w:eastAsia="仿宋_GB2312"/>
          <w:color w:val="000000" w:themeColor="text1"/>
          <w:sz w:val="24"/>
          <w:szCs w:val="24"/>
          <w:lang w:eastAsia="zh-CN"/>
        </w:rPr>
        <w:t>”</w:t>
      </w:r>
      <w:r>
        <w:rPr>
          <w:rFonts w:hint="eastAsia" w:ascii="仿宋_GB2312" w:hAnsi="Times New Roman" w:eastAsia="仿宋_GB2312"/>
          <w:color w:val="000000" w:themeColor="text1"/>
          <w:sz w:val="24"/>
          <w:szCs w:val="24"/>
        </w:rPr>
        <w:t>标准体系中的</w:t>
      </w:r>
      <w:r>
        <w:rPr>
          <w:rFonts w:hint="eastAsia" w:ascii="仿宋_GB2312" w:hAnsi="Times New Roman" w:eastAsia="仿宋_GB2312"/>
          <w:color w:val="000000" w:themeColor="text1"/>
          <w:sz w:val="24"/>
          <w:szCs w:val="24"/>
          <w:lang w:eastAsia="zh-CN"/>
        </w:rPr>
        <w:t>“</w:t>
      </w:r>
      <w:r>
        <w:rPr>
          <w:rFonts w:hint="eastAsia" w:ascii="仿宋_GB2312" w:hAnsi="Times New Roman" w:eastAsia="仿宋_GB2312"/>
          <w:color w:val="000000" w:themeColor="text1"/>
          <w:sz w:val="24"/>
          <w:szCs w:val="24"/>
          <w:lang w:val="en-US" w:eastAsia="zh-CN"/>
        </w:rPr>
        <w:t>04其他金属制品</w:t>
      </w:r>
      <w:r>
        <w:rPr>
          <w:rFonts w:hint="eastAsia" w:ascii="仿宋_GB2312" w:hAnsi="Times New Roman" w:eastAsia="仿宋_GB2312"/>
          <w:color w:val="000000" w:themeColor="text1"/>
          <w:sz w:val="24"/>
          <w:szCs w:val="24"/>
          <w:lang w:eastAsia="zh-CN"/>
        </w:rPr>
        <w:t>”</w:t>
      </w:r>
      <w:r>
        <w:rPr>
          <w:rFonts w:hint="eastAsia" w:ascii="仿宋_GB2312" w:hAnsi="Times New Roman" w:eastAsia="仿宋_GB2312"/>
          <w:color w:val="000000" w:themeColor="text1"/>
          <w:sz w:val="24"/>
          <w:szCs w:val="24"/>
        </w:rPr>
        <w:t>，该标准项目的制定将进一步完善我国建筑五金标准体系，促进建筑五金行业高质量发展。本专业领域标准体系框图如</w:t>
      </w:r>
      <w:r>
        <w:rPr>
          <w:rFonts w:hint="eastAsia" w:ascii="仿宋_GB2312" w:hAnsi="Times New Roman" w:eastAsia="仿宋_GB2312"/>
          <w:color w:val="000000" w:themeColor="text1"/>
          <w:sz w:val="24"/>
          <w:szCs w:val="24"/>
          <w:lang w:val="en-US" w:eastAsia="zh-CN"/>
        </w:rPr>
        <w:t>下</w:t>
      </w:r>
      <w:r>
        <w:rPr>
          <w:rFonts w:hint="eastAsia" w:ascii="仿宋_GB2312" w:hAnsi="Times New Roman" w:eastAsia="仿宋_GB2312"/>
          <w:color w:val="000000" w:themeColor="text1"/>
          <w:sz w:val="24"/>
          <w:szCs w:val="24"/>
        </w:rPr>
        <w:t>图所示。本标准与现行相关法律、法规、规章及相关标准协调一致。</w:t>
      </w:r>
    </w:p>
    <w:p w14:paraId="5D45EE8D">
      <w:pPr>
        <w:snapToGrid w:val="0"/>
        <w:jc w:val="center"/>
        <w:rPr>
          <w:rFonts w:hint="eastAsia" w:ascii="仿宋_GB2312" w:hAnsi="黑体" w:eastAsia="仿宋_GB2312"/>
          <w:kern w:val="0"/>
          <w:sz w:val="24"/>
          <w:szCs w:val="24"/>
        </w:rPr>
      </w:pPr>
      <w:r>
        <w:rPr>
          <w:rFonts w:hint="eastAsia" w:ascii="仿宋_GB2312" w:hAnsi="黑体" w:eastAsia="仿宋_GB2312"/>
          <w:kern w:val="0"/>
          <w:sz w:val="24"/>
          <w:szCs w:val="24"/>
        </w:rPr>
        <w:drawing>
          <wp:inline distT="0" distB="0" distL="0" distR="0">
            <wp:extent cx="4305300" cy="2506980"/>
            <wp:effectExtent l="0" t="0" r="7620" b="7620"/>
            <wp:docPr id="20805759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575936"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305300" cy="2506980"/>
                    </a:xfrm>
                    <a:prstGeom prst="rect">
                      <a:avLst/>
                    </a:prstGeom>
                    <a:noFill/>
                    <a:ln>
                      <a:noFill/>
                    </a:ln>
                  </pic:spPr>
                </pic:pic>
              </a:graphicData>
            </a:graphic>
          </wp:inline>
        </w:drawing>
      </w:r>
    </w:p>
    <w:p w14:paraId="081C5996">
      <w:pPr>
        <w:numPr>
          <w:ilvl w:val="0"/>
          <w:numId w:val="6"/>
        </w:numPr>
        <w:snapToGrid w:val="0"/>
        <w:ind w:left="425" w:leftChars="0" w:hanging="425" w:firstLineChars="0"/>
        <w:rPr>
          <w:rFonts w:hint="eastAsia" w:ascii="仿宋_GB2312" w:hAnsi="黑体" w:eastAsia="仿宋_GB2312"/>
          <w:b/>
          <w:bCs/>
          <w:kern w:val="0"/>
          <w:sz w:val="24"/>
          <w:szCs w:val="24"/>
        </w:rPr>
      </w:pPr>
      <w:r>
        <w:rPr>
          <w:rFonts w:hint="eastAsia" w:ascii="仿宋_GB2312" w:hAnsi="黑体" w:eastAsia="仿宋_GB2312"/>
          <w:b/>
          <w:bCs/>
          <w:kern w:val="0"/>
          <w:sz w:val="24"/>
          <w:szCs w:val="24"/>
        </w:rPr>
        <w:t>预期的经济效果</w:t>
      </w:r>
    </w:p>
    <w:p w14:paraId="7E0E7841">
      <w:pPr>
        <w:autoSpaceDE w:val="0"/>
        <w:autoSpaceDN w:val="0"/>
        <w:snapToGrid w:val="0"/>
        <w:ind w:firstLine="480" w:firstLineChars="200"/>
        <w:jc w:val="left"/>
        <w:rPr>
          <w:rFonts w:hint="eastAsia" w:ascii="仿宋_GB2312" w:hAnsi="Times New Roman" w:eastAsia="仿宋_GB2312"/>
          <w:color w:val="000000" w:themeColor="text1"/>
          <w:sz w:val="24"/>
          <w:szCs w:val="24"/>
          <w:highlight w:val="none"/>
        </w:rPr>
      </w:pPr>
      <w:r>
        <w:rPr>
          <w:rFonts w:hint="eastAsia" w:ascii="仿宋_GB2312" w:hAnsi="Times New Roman" w:eastAsia="仿宋_GB2312"/>
          <w:color w:val="000000" w:themeColor="text1"/>
          <w:sz w:val="24"/>
          <w:szCs w:val="24"/>
          <w:highlight w:val="none"/>
        </w:rPr>
        <w:t>本标准发布实施并完成行业宣贯落地后，将全面规范脚踏开门器设计、生产、检测及销售全流程，统一行业质量门槛，淘汰劣质产品，既减少企业售后赔付、非标检测、试样返工等各类运营支出，降低供应链质量风险，又能提振消费信心、激活市场需求，引导行业由低价竞争转向品质与技术升级，持续提升产品附加值与市场竞争力，带动上下游产业链协同发展，促进行业整体经济效益稳步增长。</w:t>
      </w:r>
    </w:p>
    <w:p w14:paraId="0C658892">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与国际、国外对比、采用国际标准的程度及水平的简要说明</w:t>
      </w:r>
    </w:p>
    <w:p w14:paraId="290C36C8">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本标准没有采用国际标准</w:t>
      </w:r>
      <w:r>
        <w:rPr>
          <w:rFonts w:hint="eastAsia" w:ascii="仿宋_GB2312" w:hAnsi="Times New Roman" w:eastAsia="仿宋_GB2312"/>
          <w:sz w:val="24"/>
          <w:szCs w:val="24"/>
          <w:lang w:eastAsia="zh-CN"/>
        </w:rPr>
        <w:t>，</w:t>
      </w:r>
      <w:r>
        <w:rPr>
          <w:rFonts w:hint="eastAsia" w:ascii="仿宋_GB2312" w:hAnsi="Times New Roman" w:eastAsia="仿宋_GB2312"/>
          <w:sz w:val="24"/>
          <w:szCs w:val="24"/>
          <w:lang w:val="en-US" w:eastAsia="zh-CN"/>
        </w:rPr>
        <w:t>在</w:t>
      </w:r>
      <w:r>
        <w:rPr>
          <w:rFonts w:hint="eastAsia" w:ascii="仿宋_GB2312" w:hAnsi="Times New Roman" w:eastAsia="仿宋_GB2312"/>
          <w:sz w:val="24"/>
          <w:szCs w:val="24"/>
        </w:rPr>
        <w:t>制定过程中未查到同类国际标准</w:t>
      </w:r>
      <w:r>
        <w:rPr>
          <w:rFonts w:hint="eastAsia" w:ascii="仿宋_GB2312" w:hAnsi="Times New Roman" w:eastAsia="仿宋_GB2312"/>
          <w:sz w:val="24"/>
          <w:szCs w:val="24"/>
          <w:lang w:eastAsia="zh-CN"/>
        </w:rPr>
        <w:t>，</w:t>
      </w:r>
      <w:r>
        <w:rPr>
          <w:rFonts w:hint="eastAsia" w:ascii="仿宋_GB2312" w:hAnsi="Times New Roman" w:eastAsia="仿宋_GB2312"/>
          <w:sz w:val="24"/>
          <w:szCs w:val="24"/>
        </w:rPr>
        <w:t>本标准水平为国内领先水平。</w:t>
      </w:r>
    </w:p>
    <w:p w14:paraId="3F78B65B">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国际市场中，欧美日韩等地区脚踏开门器多用于高端家居、适老化住宅，产品应用时间较早，但至今未出台统一国际标准、区域标准。</w:t>
      </w:r>
    </w:p>
    <w:p w14:paraId="2D6C48A6">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本标准结合国内市场特点、应用场景、生产技术及用户需求编制，覆盖材质、耐久、腐蚀、冲击、安全、有害物质等全维度管控，技术体系完整、指标设置兼顾实用性与先进性。综合评定，本标准整体达到国内领先水平，不仅可作为国内产品生产、检测、贸易的统一依据，也可为海外同类产品标准制定提供参考。</w:t>
      </w:r>
    </w:p>
    <w:p w14:paraId="78DAF0B9">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重大分歧意见的处理经过和依据</w:t>
      </w:r>
    </w:p>
    <w:p w14:paraId="0FF26678">
      <w:pPr>
        <w:snapToGrid w:val="0"/>
        <w:spacing w:before="156" w:beforeLines="50" w:after="156" w:afterLines="50"/>
        <w:ind w:firstLine="480" w:firstLineChars="200"/>
        <w:rPr>
          <w:rFonts w:hint="eastAsia" w:ascii="仿宋_GB2312" w:eastAsia="仿宋_GB2312" w:hAnsiTheme="majorEastAsia"/>
          <w:bCs/>
          <w:sz w:val="24"/>
          <w:szCs w:val="24"/>
        </w:rPr>
      </w:pPr>
      <w:r>
        <w:rPr>
          <w:rFonts w:hint="eastAsia" w:ascii="仿宋_GB2312" w:eastAsia="仿宋_GB2312" w:hAnsiTheme="majorEastAsia"/>
          <w:bCs/>
          <w:sz w:val="24"/>
          <w:szCs w:val="24"/>
        </w:rPr>
        <w:t>在标准框架搭建、技术指标设定、试验方法论证、技术条目梳理等各环节，起草单位、技术人员充分交流研讨，各方意见均通过集体论证达成统一。本标准编制全过程未出现重大意见分歧。</w:t>
      </w:r>
    </w:p>
    <w:p w14:paraId="70FE68C9">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标准中涉及专利的情况</w:t>
      </w:r>
    </w:p>
    <w:p w14:paraId="3369A3D9">
      <w:pPr>
        <w:snapToGrid w:val="0"/>
        <w:ind w:firstLine="480" w:firstLineChars="200"/>
        <w:rPr>
          <w:rFonts w:hint="eastAsia" w:ascii="仿宋_GB2312" w:hAnsi="黑体" w:eastAsia="仿宋_GB2312"/>
          <w:szCs w:val="21"/>
        </w:rPr>
      </w:pPr>
      <w:bookmarkStart w:id="0" w:name="_Hlk137826495"/>
      <w:r>
        <w:rPr>
          <w:rFonts w:hint="eastAsia" w:ascii="仿宋_GB2312" w:hAnsi="ˎ̥" w:eastAsia="仿宋_GB2312"/>
          <w:sz w:val="24"/>
        </w:rPr>
        <w:t>经起草单位全面排查及行业信息核实，本标准文本内容不涉及专利技术。同时按照规范在标准前言作出提示：本文件部分内容可能涉及专利，标准发布机构不承担专利识别相关责任。</w:t>
      </w:r>
    </w:p>
    <w:bookmarkEnd w:id="0"/>
    <w:p w14:paraId="20BF1D4B">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贯彻标准的要求和措施建议</w:t>
      </w:r>
    </w:p>
    <w:p w14:paraId="54E86B02">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建议本标准正式发布6个月后实施，给予生产企业、配套厂商、检测机构充足时间完成企标修订、工艺调整、检测设备及方案升级等过渡工作。</w:t>
      </w:r>
    </w:p>
    <w:p w14:paraId="38CE818D">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由中国五金制品协会牵头组织标准宣贯培训工作，面向生产企业、供应商、检测机构、采购及工程应用单位解读标准条款、试验方法、检验规则，推动标准全面落地。</w:t>
      </w:r>
    </w:p>
    <w:p w14:paraId="4107AF54">
      <w:pPr>
        <w:autoSpaceDE w:val="0"/>
        <w:autoSpaceDN w:val="0"/>
        <w:adjustRightInd w:val="0"/>
        <w:snapToGrid w:val="0"/>
        <w:ind w:firstLine="480" w:firstLineChars="200"/>
        <w:jc w:val="left"/>
        <w:rPr>
          <w:rFonts w:hint="eastAsia" w:ascii="仿宋_GB2312" w:hAnsi="Times New Roman" w:eastAsia="仿宋_GB2312"/>
          <w:sz w:val="24"/>
          <w:szCs w:val="24"/>
        </w:rPr>
      </w:pPr>
      <w:r>
        <w:rPr>
          <w:rFonts w:hint="eastAsia" w:ascii="仿宋_GB2312" w:hAnsi="Times New Roman" w:eastAsia="仿宋_GB2312"/>
          <w:sz w:val="24"/>
          <w:szCs w:val="24"/>
        </w:rPr>
        <w:t>各相关生产企业依据本标准修订企业标准、生产工艺及质量管控体系，将标准要求融。</w:t>
      </w:r>
    </w:p>
    <w:p w14:paraId="7A77746C">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废止现行相关标准的建议</w:t>
      </w:r>
    </w:p>
    <w:p w14:paraId="77EB28FC">
      <w:pPr>
        <w:pStyle w:val="4"/>
        <w:adjustRightInd w:val="0"/>
        <w:snapToGrid w:val="0"/>
        <w:ind w:left="0" w:firstLine="480" w:firstLineChars="200"/>
        <w:rPr>
          <w:rFonts w:hint="eastAsia" w:ascii="仿宋_GB2312" w:eastAsia="仿宋_GB2312"/>
          <w:lang w:eastAsia="zh-CN"/>
        </w:rPr>
      </w:pPr>
      <w:r>
        <w:rPr>
          <w:rFonts w:hint="eastAsia" w:ascii="仿宋_GB2312" w:hAnsi="Times New Roman" w:eastAsia="仿宋_GB2312"/>
          <w:kern w:val="2"/>
          <w:sz w:val="24"/>
          <w:szCs w:val="24"/>
          <w:lang w:eastAsia="zh-CN"/>
        </w:rPr>
        <w:t>目前国内无针对“家用及类似用途 脚踏开门器”的现行国家、行业、团体标准，因此无需要废止的相关标准。</w:t>
      </w:r>
    </w:p>
    <w:p w14:paraId="75C0480F">
      <w:pPr>
        <w:keepNext w:val="0"/>
        <w:keepLines w:val="0"/>
        <w:pageBreakBefore w:val="0"/>
        <w:widowControl w:val="0"/>
        <w:numPr>
          <w:ilvl w:val="0"/>
          <w:numId w:val="2"/>
        </w:numPr>
        <w:kinsoku/>
        <w:wordWrap/>
        <w:overflowPunct/>
        <w:topLinePunct w:val="0"/>
        <w:autoSpaceDE/>
        <w:autoSpaceDN/>
        <w:bidi w:val="0"/>
        <w:adjustRightInd/>
        <w:snapToGrid w:val="0"/>
        <w:spacing w:before="157" w:beforeLines="50" w:line="360" w:lineRule="auto"/>
        <w:ind w:left="0" w:leftChars="0" w:firstLine="0" w:firstLineChars="0"/>
        <w:textAlignment w:val="auto"/>
        <w:rPr>
          <w:rFonts w:hint="eastAsia" w:ascii="仿宋_GB2312" w:hAnsi="黑体" w:eastAsia="仿宋_GB2312"/>
          <w:b/>
          <w:bCs/>
          <w:sz w:val="24"/>
          <w:szCs w:val="24"/>
        </w:rPr>
      </w:pPr>
      <w:r>
        <w:rPr>
          <w:rFonts w:hint="eastAsia" w:ascii="仿宋_GB2312" w:hAnsi="黑体" w:eastAsia="仿宋_GB2312"/>
          <w:b/>
          <w:bCs/>
          <w:sz w:val="24"/>
          <w:szCs w:val="24"/>
        </w:rPr>
        <w:t>其它应予说明的事项</w:t>
      </w:r>
    </w:p>
    <w:p w14:paraId="3CAB2EC7">
      <w:pPr>
        <w:pStyle w:val="4"/>
        <w:adjustRightInd w:val="0"/>
        <w:snapToGrid w:val="0"/>
        <w:ind w:left="0" w:firstLine="480" w:firstLineChars="200"/>
        <w:rPr>
          <w:rFonts w:hint="eastAsia" w:ascii="仿宋_GB2312" w:eastAsia="仿宋_GB2312"/>
          <w:lang w:eastAsia="zh-CN"/>
        </w:rPr>
      </w:pPr>
      <w:r>
        <w:rPr>
          <w:rFonts w:hint="eastAsia" w:ascii="仿宋_GB2312" w:hAnsi="Times New Roman" w:eastAsia="仿宋_GB2312"/>
          <w:kern w:val="2"/>
          <w:sz w:val="24"/>
          <w:szCs w:val="24"/>
          <w:lang w:val="en-US" w:eastAsia="zh-CN"/>
        </w:rPr>
        <w:t>无</w:t>
      </w:r>
      <w:r>
        <w:rPr>
          <w:rFonts w:hint="eastAsia" w:ascii="仿宋_GB2312" w:hAnsi="Times New Roman" w:eastAsia="仿宋_GB2312"/>
          <w:kern w:val="2"/>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A61C387F">
    <w:panose1 w:val="020B0604030504040204"/>
    <w:charset w:val="88"/>
    <w:family w:val="auto"/>
    <w:pitch w:val="default"/>
    <w:sig w:usb0="00000001" w:usb1="00000000"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39E54"/>
    <w:multiLevelType w:val="singleLevel"/>
    <w:tmpl w:val="8FD39E54"/>
    <w:lvl w:ilvl="0" w:tentative="0">
      <w:start w:val="1"/>
      <w:numFmt w:val="decimal"/>
      <w:lvlText w:val="%1."/>
      <w:lvlJc w:val="left"/>
      <w:pPr>
        <w:ind w:left="425" w:hanging="425"/>
      </w:pPr>
      <w:rPr>
        <w:rFonts w:hint="default"/>
      </w:rPr>
    </w:lvl>
  </w:abstractNum>
  <w:abstractNum w:abstractNumId="1">
    <w:nsid w:val="95E1F5FD"/>
    <w:multiLevelType w:val="singleLevel"/>
    <w:tmpl w:val="95E1F5FD"/>
    <w:lvl w:ilvl="0" w:tentative="0">
      <w:start w:val="1"/>
      <w:numFmt w:val="chineseCounting"/>
      <w:suff w:val="nothing"/>
      <w:lvlText w:val="%1、"/>
      <w:lvlJc w:val="left"/>
      <w:pPr>
        <w:ind w:left="0" w:firstLine="420"/>
      </w:pPr>
      <w:rPr>
        <w:rFonts w:hint="eastAsia"/>
      </w:rPr>
    </w:lvl>
  </w:abstractNum>
  <w:abstractNum w:abstractNumId="2">
    <w:nsid w:val="E40A5AEA"/>
    <w:multiLevelType w:val="singleLevel"/>
    <w:tmpl w:val="E40A5AEA"/>
    <w:lvl w:ilvl="0" w:tentative="0">
      <w:start w:val="1"/>
      <w:numFmt w:val="decimal"/>
      <w:lvlText w:val="(%1)"/>
      <w:lvlJc w:val="left"/>
      <w:pPr>
        <w:ind w:left="425" w:hanging="425"/>
      </w:pPr>
      <w:rPr>
        <w:rFonts w:hint="default"/>
      </w:rPr>
    </w:lvl>
  </w:abstractNum>
  <w:abstractNum w:abstractNumId="3">
    <w:nsid w:val="1FC91163"/>
    <w:multiLevelType w:val="multilevel"/>
    <w:tmpl w:val="1FC91163"/>
    <w:lvl w:ilvl="0" w:tentative="0">
      <w:start w:val="1"/>
      <w:numFmt w:val="decimal"/>
      <w:pStyle w:val="2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pStyle w:val="20"/>
      <w:suff w:val="nothing"/>
      <w:lvlText w:val="%1.%2.%3.%4　"/>
      <w:lvlJc w:val="left"/>
      <w:pPr>
        <w:ind w:left="85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2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3458B9B3"/>
    <w:multiLevelType w:val="singleLevel"/>
    <w:tmpl w:val="3458B9B3"/>
    <w:lvl w:ilvl="0" w:tentative="0">
      <w:start w:val="1"/>
      <w:numFmt w:val="decimal"/>
      <w:lvlText w:val="%1."/>
      <w:lvlJc w:val="left"/>
      <w:pPr>
        <w:ind w:left="425" w:hanging="425"/>
      </w:pPr>
      <w:rPr>
        <w:rFonts w:hint="default"/>
      </w:rPr>
    </w:lvl>
  </w:abstractNum>
  <w:abstractNum w:abstractNumId="5">
    <w:nsid w:val="3DD2243C"/>
    <w:multiLevelType w:val="singleLevel"/>
    <w:tmpl w:val="3DD2243C"/>
    <w:lvl w:ilvl="0" w:tentative="0">
      <w:start w:val="1"/>
      <w:numFmt w:val="decimal"/>
      <w:lvlText w:val="%1."/>
      <w:lvlJc w:val="left"/>
      <w:pPr>
        <w:ind w:left="425" w:hanging="425"/>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7C6892"/>
    <w:rsid w:val="00002271"/>
    <w:rsid w:val="00013BC8"/>
    <w:rsid w:val="00013EF0"/>
    <w:rsid w:val="00035AF0"/>
    <w:rsid w:val="000526A4"/>
    <w:rsid w:val="00056AB9"/>
    <w:rsid w:val="0006606D"/>
    <w:rsid w:val="000820AD"/>
    <w:rsid w:val="000A002E"/>
    <w:rsid w:val="000B0477"/>
    <w:rsid w:val="000B14E7"/>
    <w:rsid w:val="000C1490"/>
    <w:rsid w:val="000C70A4"/>
    <w:rsid w:val="000E028E"/>
    <w:rsid w:val="000E2EDE"/>
    <w:rsid w:val="000F41A1"/>
    <w:rsid w:val="00101D27"/>
    <w:rsid w:val="00114FD6"/>
    <w:rsid w:val="00130C9D"/>
    <w:rsid w:val="00131352"/>
    <w:rsid w:val="001509F1"/>
    <w:rsid w:val="00150DE7"/>
    <w:rsid w:val="001718CB"/>
    <w:rsid w:val="00180E5C"/>
    <w:rsid w:val="0019594A"/>
    <w:rsid w:val="001A0F42"/>
    <w:rsid w:val="001F0EB1"/>
    <w:rsid w:val="001F151A"/>
    <w:rsid w:val="002144FC"/>
    <w:rsid w:val="00253168"/>
    <w:rsid w:val="00260B7B"/>
    <w:rsid w:val="00263337"/>
    <w:rsid w:val="00282680"/>
    <w:rsid w:val="00285638"/>
    <w:rsid w:val="0029089C"/>
    <w:rsid w:val="002B6816"/>
    <w:rsid w:val="002D4DFE"/>
    <w:rsid w:val="002D6F56"/>
    <w:rsid w:val="002E5AFF"/>
    <w:rsid w:val="003029E5"/>
    <w:rsid w:val="00302CCB"/>
    <w:rsid w:val="00311192"/>
    <w:rsid w:val="003128DE"/>
    <w:rsid w:val="00350EF9"/>
    <w:rsid w:val="0036110E"/>
    <w:rsid w:val="00363103"/>
    <w:rsid w:val="0036744D"/>
    <w:rsid w:val="003739FF"/>
    <w:rsid w:val="0037406F"/>
    <w:rsid w:val="00376D2D"/>
    <w:rsid w:val="00380DDE"/>
    <w:rsid w:val="00395465"/>
    <w:rsid w:val="003B2E77"/>
    <w:rsid w:val="003C468C"/>
    <w:rsid w:val="003D10E3"/>
    <w:rsid w:val="003D4F11"/>
    <w:rsid w:val="003D7761"/>
    <w:rsid w:val="003F5F2A"/>
    <w:rsid w:val="004107E8"/>
    <w:rsid w:val="00412E5A"/>
    <w:rsid w:val="00416571"/>
    <w:rsid w:val="004215B2"/>
    <w:rsid w:val="00422E61"/>
    <w:rsid w:val="00424B4C"/>
    <w:rsid w:val="00427583"/>
    <w:rsid w:val="00432B9D"/>
    <w:rsid w:val="00451AFC"/>
    <w:rsid w:val="00471CFE"/>
    <w:rsid w:val="00472B0B"/>
    <w:rsid w:val="00477F5E"/>
    <w:rsid w:val="00481890"/>
    <w:rsid w:val="004835DE"/>
    <w:rsid w:val="004968AC"/>
    <w:rsid w:val="004B3EBA"/>
    <w:rsid w:val="004B5B04"/>
    <w:rsid w:val="004E79F4"/>
    <w:rsid w:val="004F446D"/>
    <w:rsid w:val="004F5C3E"/>
    <w:rsid w:val="00506E73"/>
    <w:rsid w:val="0051042B"/>
    <w:rsid w:val="005301E0"/>
    <w:rsid w:val="005514D1"/>
    <w:rsid w:val="0056292F"/>
    <w:rsid w:val="00567480"/>
    <w:rsid w:val="005678C0"/>
    <w:rsid w:val="00577718"/>
    <w:rsid w:val="005818D8"/>
    <w:rsid w:val="00581FB0"/>
    <w:rsid w:val="005A5438"/>
    <w:rsid w:val="005B6FE5"/>
    <w:rsid w:val="005C57E4"/>
    <w:rsid w:val="005C6A21"/>
    <w:rsid w:val="005D5AE7"/>
    <w:rsid w:val="005E1ACD"/>
    <w:rsid w:val="005E29CD"/>
    <w:rsid w:val="005E6203"/>
    <w:rsid w:val="005E7688"/>
    <w:rsid w:val="00611771"/>
    <w:rsid w:val="0061209D"/>
    <w:rsid w:val="00622534"/>
    <w:rsid w:val="006311C1"/>
    <w:rsid w:val="00641256"/>
    <w:rsid w:val="00655374"/>
    <w:rsid w:val="00657AEC"/>
    <w:rsid w:val="00661215"/>
    <w:rsid w:val="0069494F"/>
    <w:rsid w:val="0069744B"/>
    <w:rsid w:val="006B142E"/>
    <w:rsid w:val="006B620B"/>
    <w:rsid w:val="006C2E26"/>
    <w:rsid w:val="006E2F0C"/>
    <w:rsid w:val="006E3CAD"/>
    <w:rsid w:val="006E6E03"/>
    <w:rsid w:val="006F43E1"/>
    <w:rsid w:val="00701697"/>
    <w:rsid w:val="00703664"/>
    <w:rsid w:val="00726923"/>
    <w:rsid w:val="00727EC5"/>
    <w:rsid w:val="00742513"/>
    <w:rsid w:val="00744D05"/>
    <w:rsid w:val="0075035F"/>
    <w:rsid w:val="00755EB7"/>
    <w:rsid w:val="00757AB5"/>
    <w:rsid w:val="00770308"/>
    <w:rsid w:val="00775DE5"/>
    <w:rsid w:val="00780170"/>
    <w:rsid w:val="00783C4F"/>
    <w:rsid w:val="00796A6E"/>
    <w:rsid w:val="007B25FE"/>
    <w:rsid w:val="007C6892"/>
    <w:rsid w:val="007E12F9"/>
    <w:rsid w:val="007E18CC"/>
    <w:rsid w:val="007F038B"/>
    <w:rsid w:val="00807ADE"/>
    <w:rsid w:val="00814B34"/>
    <w:rsid w:val="008334CC"/>
    <w:rsid w:val="00833F04"/>
    <w:rsid w:val="00836387"/>
    <w:rsid w:val="00857B91"/>
    <w:rsid w:val="00861133"/>
    <w:rsid w:val="00861BCA"/>
    <w:rsid w:val="008753CF"/>
    <w:rsid w:val="00880413"/>
    <w:rsid w:val="00880EB8"/>
    <w:rsid w:val="00883C60"/>
    <w:rsid w:val="008872BD"/>
    <w:rsid w:val="00892100"/>
    <w:rsid w:val="00895A92"/>
    <w:rsid w:val="008B74B2"/>
    <w:rsid w:val="008C1CBD"/>
    <w:rsid w:val="008D4A4B"/>
    <w:rsid w:val="008E3FF3"/>
    <w:rsid w:val="008E49ED"/>
    <w:rsid w:val="008F21B1"/>
    <w:rsid w:val="008F4233"/>
    <w:rsid w:val="008F54F5"/>
    <w:rsid w:val="00900EF8"/>
    <w:rsid w:val="0090150A"/>
    <w:rsid w:val="00905595"/>
    <w:rsid w:val="00926E04"/>
    <w:rsid w:val="00931FE9"/>
    <w:rsid w:val="00932786"/>
    <w:rsid w:val="0094290A"/>
    <w:rsid w:val="009516FD"/>
    <w:rsid w:val="009524B3"/>
    <w:rsid w:val="00964DB6"/>
    <w:rsid w:val="00992AB6"/>
    <w:rsid w:val="009A0B66"/>
    <w:rsid w:val="009C2343"/>
    <w:rsid w:val="009D50C9"/>
    <w:rsid w:val="009E080B"/>
    <w:rsid w:val="009E33B9"/>
    <w:rsid w:val="009E7628"/>
    <w:rsid w:val="009F78D7"/>
    <w:rsid w:val="00A012B2"/>
    <w:rsid w:val="00A03AA5"/>
    <w:rsid w:val="00A04157"/>
    <w:rsid w:val="00A069F4"/>
    <w:rsid w:val="00A0727D"/>
    <w:rsid w:val="00A1052A"/>
    <w:rsid w:val="00A16BBF"/>
    <w:rsid w:val="00A2044F"/>
    <w:rsid w:val="00A21F2A"/>
    <w:rsid w:val="00A22D3E"/>
    <w:rsid w:val="00A246F7"/>
    <w:rsid w:val="00A34892"/>
    <w:rsid w:val="00A40483"/>
    <w:rsid w:val="00A40594"/>
    <w:rsid w:val="00A426B4"/>
    <w:rsid w:val="00A569CE"/>
    <w:rsid w:val="00A6023B"/>
    <w:rsid w:val="00A61164"/>
    <w:rsid w:val="00A6246A"/>
    <w:rsid w:val="00A94B79"/>
    <w:rsid w:val="00AA0672"/>
    <w:rsid w:val="00AC1CB8"/>
    <w:rsid w:val="00AC48EB"/>
    <w:rsid w:val="00AD5E26"/>
    <w:rsid w:val="00AE7594"/>
    <w:rsid w:val="00B06B33"/>
    <w:rsid w:val="00B20216"/>
    <w:rsid w:val="00B242CD"/>
    <w:rsid w:val="00B3566F"/>
    <w:rsid w:val="00B35EBA"/>
    <w:rsid w:val="00B3657B"/>
    <w:rsid w:val="00B62096"/>
    <w:rsid w:val="00B677A9"/>
    <w:rsid w:val="00B7359D"/>
    <w:rsid w:val="00B7614A"/>
    <w:rsid w:val="00B86326"/>
    <w:rsid w:val="00B9690B"/>
    <w:rsid w:val="00B97774"/>
    <w:rsid w:val="00BA3731"/>
    <w:rsid w:val="00BB2241"/>
    <w:rsid w:val="00BB7CBC"/>
    <w:rsid w:val="00BE5020"/>
    <w:rsid w:val="00C41213"/>
    <w:rsid w:val="00C43829"/>
    <w:rsid w:val="00C71159"/>
    <w:rsid w:val="00C730C3"/>
    <w:rsid w:val="00C73D50"/>
    <w:rsid w:val="00C9671D"/>
    <w:rsid w:val="00CB1116"/>
    <w:rsid w:val="00CB2021"/>
    <w:rsid w:val="00CB52C0"/>
    <w:rsid w:val="00CB6867"/>
    <w:rsid w:val="00CB757A"/>
    <w:rsid w:val="00CC4E13"/>
    <w:rsid w:val="00CC6F05"/>
    <w:rsid w:val="00CD09B0"/>
    <w:rsid w:val="00CD4D70"/>
    <w:rsid w:val="00CE712E"/>
    <w:rsid w:val="00CF33BA"/>
    <w:rsid w:val="00D07B0C"/>
    <w:rsid w:val="00D50DBF"/>
    <w:rsid w:val="00D527C1"/>
    <w:rsid w:val="00D81762"/>
    <w:rsid w:val="00D84267"/>
    <w:rsid w:val="00D97FA2"/>
    <w:rsid w:val="00DA34EC"/>
    <w:rsid w:val="00DB0C53"/>
    <w:rsid w:val="00DB70F4"/>
    <w:rsid w:val="00DE53B2"/>
    <w:rsid w:val="00DF3548"/>
    <w:rsid w:val="00DF6278"/>
    <w:rsid w:val="00E00787"/>
    <w:rsid w:val="00E01E54"/>
    <w:rsid w:val="00E1324B"/>
    <w:rsid w:val="00E13904"/>
    <w:rsid w:val="00E139FC"/>
    <w:rsid w:val="00E15C05"/>
    <w:rsid w:val="00E17703"/>
    <w:rsid w:val="00E22856"/>
    <w:rsid w:val="00E3470D"/>
    <w:rsid w:val="00E3754B"/>
    <w:rsid w:val="00E40C81"/>
    <w:rsid w:val="00E4232B"/>
    <w:rsid w:val="00E52F76"/>
    <w:rsid w:val="00E7127C"/>
    <w:rsid w:val="00E9044D"/>
    <w:rsid w:val="00EA0D4E"/>
    <w:rsid w:val="00EA14C4"/>
    <w:rsid w:val="00EB043A"/>
    <w:rsid w:val="00EB0534"/>
    <w:rsid w:val="00EC12CE"/>
    <w:rsid w:val="00EC7704"/>
    <w:rsid w:val="00ED49B4"/>
    <w:rsid w:val="00EE6832"/>
    <w:rsid w:val="00EF3F83"/>
    <w:rsid w:val="00EF55B9"/>
    <w:rsid w:val="00F07983"/>
    <w:rsid w:val="00F252E2"/>
    <w:rsid w:val="00F302D0"/>
    <w:rsid w:val="00F307F1"/>
    <w:rsid w:val="00F32023"/>
    <w:rsid w:val="00F3308D"/>
    <w:rsid w:val="00F44DFA"/>
    <w:rsid w:val="00F4775F"/>
    <w:rsid w:val="00F626FA"/>
    <w:rsid w:val="00F675E3"/>
    <w:rsid w:val="00F91F60"/>
    <w:rsid w:val="00FA5B90"/>
    <w:rsid w:val="00FB2EDD"/>
    <w:rsid w:val="00FC014D"/>
    <w:rsid w:val="00FD0831"/>
    <w:rsid w:val="00FD3104"/>
    <w:rsid w:val="00FF04A1"/>
    <w:rsid w:val="00FF1498"/>
    <w:rsid w:val="0136557F"/>
    <w:rsid w:val="01395070"/>
    <w:rsid w:val="014D4677"/>
    <w:rsid w:val="015B6D94"/>
    <w:rsid w:val="015C2B0C"/>
    <w:rsid w:val="0172557B"/>
    <w:rsid w:val="01791910"/>
    <w:rsid w:val="017B11E4"/>
    <w:rsid w:val="01990D7D"/>
    <w:rsid w:val="01A324E9"/>
    <w:rsid w:val="01D45911"/>
    <w:rsid w:val="01F86CD9"/>
    <w:rsid w:val="02144A36"/>
    <w:rsid w:val="02296E92"/>
    <w:rsid w:val="02300221"/>
    <w:rsid w:val="023125A6"/>
    <w:rsid w:val="023C4E17"/>
    <w:rsid w:val="02421D02"/>
    <w:rsid w:val="02497534"/>
    <w:rsid w:val="024B505A"/>
    <w:rsid w:val="0256755B"/>
    <w:rsid w:val="02581525"/>
    <w:rsid w:val="026A4C19"/>
    <w:rsid w:val="027F4D04"/>
    <w:rsid w:val="028234E6"/>
    <w:rsid w:val="02BD2C26"/>
    <w:rsid w:val="02C80459"/>
    <w:rsid w:val="02D36DFE"/>
    <w:rsid w:val="02EE59E6"/>
    <w:rsid w:val="02F82ED5"/>
    <w:rsid w:val="031622F4"/>
    <w:rsid w:val="03343D40"/>
    <w:rsid w:val="033E4BBF"/>
    <w:rsid w:val="03800D34"/>
    <w:rsid w:val="038D51FF"/>
    <w:rsid w:val="038F541B"/>
    <w:rsid w:val="039D4168"/>
    <w:rsid w:val="039D7B38"/>
    <w:rsid w:val="03A07CB3"/>
    <w:rsid w:val="03A569EC"/>
    <w:rsid w:val="03AD764F"/>
    <w:rsid w:val="03BD5AE4"/>
    <w:rsid w:val="03CC21CB"/>
    <w:rsid w:val="03FF3760"/>
    <w:rsid w:val="040C49EA"/>
    <w:rsid w:val="04163446"/>
    <w:rsid w:val="04247911"/>
    <w:rsid w:val="042F62B6"/>
    <w:rsid w:val="0434710C"/>
    <w:rsid w:val="04504404"/>
    <w:rsid w:val="04733E1F"/>
    <w:rsid w:val="04844854"/>
    <w:rsid w:val="04A86794"/>
    <w:rsid w:val="04AD3DAA"/>
    <w:rsid w:val="04BF763A"/>
    <w:rsid w:val="05157BA2"/>
    <w:rsid w:val="05465FAD"/>
    <w:rsid w:val="055C3C08"/>
    <w:rsid w:val="05720B50"/>
    <w:rsid w:val="059E7C9C"/>
    <w:rsid w:val="05BC1DCB"/>
    <w:rsid w:val="05D67331"/>
    <w:rsid w:val="05DE36F7"/>
    <w:rsid w:val="05F72E03"/>
    <w:rsid w:val="06400C4E"/>
    <w:rsid w:val="064E336B"/>
    <w:rsid w:val="06620BC5"/>
    <w:rsid w:val="06B01054"/>
    <w:rsid w:val="06B036DE"/>
    <w:rsid w:val="06BA27AF"/>
    <w:rsid w:val="06C74ECC"/>
    <w:rsid w:val="06D25D4A"/>
    <w:rsid w:val="06E710CA"/>
    <w:rsid w:val="070457D8"/>
    <w:rsid w:val="07153E89"/>
    <w:rsid w:val="071F0864"/>
    <w:rsid w:val="072F4F4B"/>
    <w:rsid w:val="073F4A62"/>
    <w:rsid w:val="077C1812"/>
    <w:rsid w:val="07830F22"/>
    <w:rsid w:val="0790350F"/>
    <w:rsid w:val="07A50D69"/>
    <w:rsid w:val="07D7113E"/>
    <w:rsid w:val="07DC0503"/>
    <w:rsid w:val="07DE071F"/>
    <w:rsid w:val="080D0C0C"/>
    <w:rsid w:val="080F6C6D"/>
    <w:rsid w:val="08471E20"/>
    <w:rsid w:val="086329D2"/>
    <w:rsid w:val="086C7AD9"/>
    <w:rsid w:val="08947D0B"/>
    <w:rsid w:val="089A2898"/>
    <w:rsid w:val="08B17BE1"/>
    <w:rsid w:val="08BB280E"/>
    <w:rsid w:val="08F5187C"/>
    <w:rsid w:val="090C4E18"/>
    <w:rsid w:val="091D0DD3"/>
    <w:rsid w:val="092B7994"/>
    <w:rsid w:val="093920B1"/>
    <w:rsid w:val="094D16B8"/>
    <w:rsid w:val="09524F20"/>
    <w:rsid w:val="09594501"/>
    <w:rsid w:val="0963712E"/>
    <w:rsid w:val="096609CC"/>
    <w:rsid w:val="097E5D15"/>
    <w:rsid w:val="098826F0"/>
    <w:rsid w:val="09C53944"/>
    <w:rsid w:val="09EE3807"/>
    <w:rsid w:val="09EF09C1"/>
    <w:rsid w:val="0A222B45"/>
    <w:rsid w:val="0A8D4287"/>
    <w:rsid w:val="0A917CCA"/>
    <w:rsid w:val="0AAE6186"/>
    <w:rsid w:val="0ABF4545"/>
    <w:rsid w:val="0AD41965"/>
    <w:rsid w:val="0ADA51CD"/>
    <w:rsid w:val="0B212DFC"/>
    <w:rsid w:val="0B297F03"/>
    <w:rsid w:val="0B403C58"/>
    <w:rsid w:val="0B4C599F"/>
    <w:rsid w:val="0B521208"/>
    <w:rsid w:val="0B640F3B"/>
    <w:rsid w:val="0B82550B"/>
    <w:rsid w:val="0B8415DD"/>
    <w:rsid w:val="0B8D66E4"/>
    <w:rsid w:val="0B9335CE"/>
    <w:rsid w:val="0BA457DB"/>
    <w:rsid w:val="0BA80E28"/>
    <w:rsid w:val="0BB579E9"/>
    <w:rsid w:val="0BD25EA5"/>
    <w:rsid w:val="0BED7182"/>
    <w:rsid w:val="0BEF4CA9"/>
    <w:rsid w:val="0C434FF4"/>
    <w:rsid w:val="0C937D2A"/>
    <w:rsid w:val="0CAF268A"/>
    <w:rsid w:val="0CF823A3"/>
    <w:rsid w:val="0D1E3BC3"/>
    <w:rsid w:val="0D703BC7"/>
    <w:rsid w:val="0DB31D06"/>
    <w:rsid w:val="0DC3019B"/>
    <w:rsid w:val="0DD26630"/>
    <w:rsid w:val="0DD73C46"/>
    <w:rsid w:val="0DED16BC"/>
    <w:rsid w:val="0DEF71E2"/>
    <w:rsid w:val="0DF20A80"/>
    <w:rsid w:val="0E0367E9"/>
    <w:rsid w:val="0E0E518E"/>
    <w:rsid w:val="0E481E5C"/>
    <w:rsid w:val="0E5B4877"/>
    <w:rsid w:val="0E5B6625"/>
    <w:rsid w:val="0E6A6868"/>
    <w:rsid w:val="0E6C0832"/>
    <w:rsid w:val="0E71409B"/>
    <w:rsid w:val="0E8B67DF"/>
    <w:rsid w:val="0E8D2557"/>
    <w:rsid w:val="0EA64893"/>
    <w:rsid w:val="0EAD2BF9"/>
    <w:rsid w:val="0EBB5316"/>
    <w:rsid w:val="0EF425D6"/>
    <w:rsid w:val="0F072309"/>
    <w:rsid w:val="0F2E7896"/>
    <w:rsid w:val="0F5A1D1A"/>
    <w:rsid w:val="0F76748F"/>
    <w:rsid w:val="0FC87CEA"/>
    <w:rsid w:val="0FE73EE9"/>
    <w:rsid w:val="0FEB39D9"/>
    <w:rsid w:val="0FF00FEF"/>
    <w:rsid w:val="105E23FD"/>
    <w:rsid w:val="1068327B"/>
    <w:rsid w:val="107B4D5D"/>
    <w:rsid w:val="10855BDB"/>
    <w:rsid w:val="1097590F"/>
    <w:rsid w:val="109B53FF"/>
    <w:rsid w:val="10DE1511"/>
    <w:rsid w:val="1102722C"/>
    <w:rsid w:val="110C5584"/>
    <w:rsid w:val="11230F50"/>
    <w:rsid w:val="11392EC9"/>
    <w:rsid w:val="11395683"/>
    <w:rsid w:val="113B273E"/>
    <w:rsid w:val="11643A43"/>
    <w:rsid w:val="118063A3"/>
    <w:rsid w:val="11861234"/>
    <w:rsid w:val="11871EEC"/>
    <w:rsid w:val="118C2F9A"/>
    <w:rsid w:val="119F74B6"/>
    <w:rsid w:val="11A025A1"/>
    <w:rsid w:val="11BA18B5"/>
    <w:rsid w:val="11BA7B07"/>
    <w:rsid w:val="11BB2B58"/>
    <w:rsid w:val="11D0732A"/>
    <w:rsid w:val="11DA5AB3"/>
    <w:rsid w:val="1202325C"/>
    <w:rsid w:val="12080872"/>
    <w:rsid w:val="12256F37"/>
    <w:rsid w:val="122B4561"/>
    <w:rsid w:val="123172FC"/>
    <w:rsid w:val="12635AA8"/>
    <w:rsid w:val="127E6D86"/>
    <w:rsid w:val="12891287"/>
    <w:rsid w:val="12AF5192"/>
    <w:rsid w:val="12B10F0A"/>
    <w:rsid w:val="12B427A8"/>
    <w:rsid w:val="12E806A4"/>
    <w:rsid w:val="13337B71"/>
    <w:rsid w:val="133B6A25"/>
    <w:rsid w:val="13963C5C"/>
    <w:rsid w:val="13BB7B66"/>
    <w:rsid w:val="13DB3D64"/>
    <w:rsid w:val="13DF5603"/>
    <w:rsid w:val="13E56991"/>
    <w:rsid w:val="13F82B68"/>
    <w:rsid w:val="14107EB2"/>
    <w:rsid w:val="141F6347"/>
    <w:rsid w:val="142851FC"/>
    <w:rsid w:val="14305E5E"/>
    <w:rsid w:val="14661880"/>
    <w:rsid w:val="146B333A"/>
    <w:rsid w:val="147E306D"/>
    <w:rsid w:val="149208C7"/>
    <w:rsid w:val="149C1746"/>
    <w:rsid w:val="149C7998"/>
    <w:rsid w:val="14AA3A23"/>
    <w:rsid w:val="14BF71E2"/>
    <w:rsid w:val="14CF3D09"/>
    <w:rsid w:val="14D82CC8"/>
    <w:rsid w:val="14F52C04"/>
    <w:rsid w:val="151F2273"/>
    <w:rsid w:val="153C0833"/>
    <w:rsid w:val="15453B8B"/>
    <w:rsid w:val="154F67B8"/>
    <w:rsid w:val="155B6F0B"/>
    <w:rsid w:val="155D0ED5"/>
    <w:rsid w:val="15785D0F"/>
    <w:rsid w:val="158741A4"/>
    <w:rsid w:val="15A5287C"/>
    <w:rsid w:val="15AA7E92"/>
    <w:rsid w:val="15B50D11"/>
    <w:rsid w:val="15BD7BC5"/>
    <w:rsid w:val="15BE749A"/>
    <w:rsid w:val="15C076B6"/>
    <w:rsid w:val="16105F47"/>
    <w:rsid w:val="161A0B74"/>
    <w:rsid w:val="162419F3"/>
    <w:rsid w:val="16287735"/>
    <w:rsid w:val="163B0AEA"/>
    <w:rsid w:val="163D4250"/>
    <w:rsid w:val="1658169C"/>
    <w:rsid w:val="165B2F3A"/>
    <w:rsid w:val="16797F90"/>
    <w:rsid w:val="16900E36"/>
    <w:rsid w:val="16AC5E91"/>
    <w:rsid w:val="16B25250"/>
    <w:rsid w:val="16BE3BF5"/>
    <w:rsid w:val="16BF171B"/>
    <w:rsid w:val="16D52CED"/>
    <w:rsid w:val="17092996"/>
    <w:rsid w:val="170F26A3"/>
    <w:rsid w:val="171001C9"/>
    <w:rsid w:val="1711641B"/>
    <w:rsid w:val="172D48D7"/>
    <w:rsid w:val="17377504"/>
    <w:rsid w:val="174C1201"/>
    <w:rsid w:val="17740758"/>
    <w:rsid w:val="177E5132"/>
    <w:rsid w:val="17824C23"/>
    <w:rsid w:val="17A328CB"/>
    <w:rsid w:val="17A32DEB"/>
    <w:rsid w:val="17C214C3"/>
    <w:rsid w:val="17DD00AB"/>
    <w:rsid w:val="17FF6273"/>
    <w:rsid w:val="18137F71"/>
    <w:rsid w:val="1853036D"/>
    <w:rsid w:val="185A794E"/>
    <w:rsid w:val="18673E19"/>
    <w:rsid w:val="18694035"/>
    <w:rsid w:val="187D188E"/>
    <w:rsid w:val="188C0B4A"/>
    <w:rsid w:val="18982224"/>
    <w:rsid w:val="18E67433"/>
    <w:rsid w:val="19000272"/>
    <w:rsid w:val="19061883"/>
    <w:rsid w:val="1917583F"/>
    <w:rsid w:val="1926420A"/>
    <w:rsid w:val="19265A82"/>
    <w:rsid w:val="19614D0C"/>
    <w:rsid w:val="196A3BC0"/>
    <w:rsid w:val="19762565"/>
    <w:rsid w:val="197762DD"/>
    <w:rsid w:val="198F7ACB"/>
    <w:rsid w:val="19CE05F3"/>
    <w:rsid w:val="19CE23A1"/>
    <w:rsid w:val="1A0978DA"/>
    <w:rsid w:val="1A0A7F67"/>
    <w:rsid w:val="1A134258"/>
    <w:rsid w:val="1A293A7B"/>
    <w:rsid w:val="1A402B73"/>
    <w:rsid w:val="1A420699"/>
    <w:rsid w:val="1A4B1C44"/>
    <w:rsid w:val="1A613215"/>
    <w:rsid w:val="1A7A7E33"/>
    <w:rsid w:val="1A9609E5"/>
    <w:rsid w:val="1AD0039B"/>
    <w:rsid w:val="1AD5775F"/>
    <w:rsid w:val="1AF04599"/>
    <w:rsid w:val="1B216501"/>
    <w:rsid w:val="1B26620D"/>
    <w:rsid w:val="1B416BA3"/>
    <w:rsid w:val="1B43291B"/>
    <w:rsid w:val="1B632FBD"/>
    <w:rsid w:val="1B634D6B"/>
    <w:rsid w:val="1B6805D3"/>
    <w:rsid w:val="1B6D5BEA"/>
    <w:rsid w:val="1B6D7998"/>
    <w:rsid w:val="1B862808"/>
    <w:rsid w:val="1B9E5DA3"/>
    <w:rsid w:val="1BA01B1B"/>
    <w:rsid w:val="1BA15893"/>
    <w:rsid w:val="1BAB7088"/>
    <w:rsid w:val="1BB11F7A"/>
    <w:rsid w:val="1BC51582"/>
    <w:rsid w:val="1BC7354C"/>
    <w:rsid w:val="1BE13EE2"/>
    <w:rsid w:val="1BEB1F58"/>
    <w:rsid w:val="1BF41E67"/>
    <w:rsid w:val="1BF956CF"/>
    <w:rsid w:val="1C054074"/>
    <w:rsid w:val="1C13053F"/>
    <w:rsid w:val="1C3B1844"/>
    <w:rsid w:val="1C7865F4"/>
    <w:rsid w:val="1C8431EB"/>
    <w:rsid w:val="1C8651B5"/>
    <w:rsid w:val="1CA4563B"/>
    <w:rsid w:val="1CB515F6"/>
    <w:rsid w:val="1D0205B4"/>
    <w:rsid w:val="1D1E3640"/>
    <w:rsid w:val="1D2E3157"/>
    <w:rsid w:val="1D322C47"/>
    <w:rsid w:val="1D4604A0"/>
    <w:rsid w:val="1D547061"/>
    <w:rsid w:val="1D6E5879"/>
    <w:rsid w:val="1D7C3EC2"/>
    <w:rsid w:val="1D9C6312"/>
    <w:rsid w:val="1DB01DBE"/>
    <w:rsid w:val="1DCA2E80"/>
    <w:rsid w:val="1DE008F5"/>
    <w:rsid w:val="1DE06B47"/>
    <w:rsid w:val="1DE63A32"/>
    <w:rsid w:val="1DFB74DD"/>
    <w:rsid w:val="1E200CF1"/>
    <w:rsid w:val="1E2F7187"/>
    <w:rsid w:val="1E324C07"/>
    <w:rsid w:val="1E3B5B2B"/>
    <w:rsid w:val="1E3D7AF5"/>
    <w:rsid w:val="1E4861D9"/>
    <w:rsid w:val="1ECE4BF1"/>
    <w:rsid w:val="1EDD3086"/>
    <w:rsid w:val="1EF65EF6"/>
    <w:rsid w:val="1F220A99"/>
    <w:rsid w:val="1F550E6F"/>
    <w:rsid w:val="1F811C64"/>
    <w:rsid w:val="1FAF67D1"/>
    <w:rsid w:val="1FB57B5F"/>
    <w:rsid w:val="1FC57DA2"/>
    <w:rsid w:val="1FF00B97"/>
    <w:rsid w:val="201C198C"/>
    <w:rsid w:val="201E5705"/>
    <w:rsid w:val="202B1BD0"/>
    <w:rsid w:val="205C7FDB"/>
    <w:rsid w:val="20672C08"/>
    <w:rsid w:val="207215AC"/>
    <w:rsid w:val="20790B8D"/>
    <w:rsid w:val="20987265"/>
    <w:rsid w:val="20AC4ABE"/>
    <w:rsid w:val="20AF45AF"/>
    <w:rsid w:val="20C0056A"/>
    <w:rsid w:val="20E97AC1"/>
    <w:rsid w:val="20EC135F"/>
    <w:rsid w:val="20F546B7"/>
    <w:rsid w:val="210C37AF"/>
    <w:rsid w:val="211329C7"/>
    <w:rsid w:val="211508B6"/>
    <w:rsid w:val="212154AC"/>
    <w:rsid w:val="213030E5"/>
    <w:rsid w:val="213276BA"/>
    <w:rsid w:val="213F386A"/>
    <w:rsid w:val="214116AB"/>
    <w:rsid w:val="21507B40"/>
    <w:rsid w:val="217A5B78"/>
    <w:rsid w:val="217B0D8B"/>
    <w:rsid w:val="21817CF9"/>
    <w:rsid w:val="21843C8D"/>
    <w:rsid w:val="2186530F"/>
    <w:rsid w:val="21A12149"/>
    <w:rsid w:val="21A63C04"/>
    <w:rsid w:val="21AD776D"/>
    <w:rsid w:val="21FA7AAB"/>
    <w:rsid w:val="21FE759C"/>
    <w:rsid w:val="22456F79"/>
    <w:rsid w:val="22482F0D"/>
    <w:rsid w:val="227710FC"/>
    <w:rsid w:val="229D34C8"/>
    <w:rsid w:val="22F117B5"/>
    <w:rsid w:val="22F7632F"/>
    <w:rsid w:val="22F83FEB"/>
    <w:rsid w:val="22FB3ADB"/>
    <w:rsid w:val="230961F8"/>
    <w:rsid w:val="23270D74"/>
    <w:rsid w:val="235A6A54"/>
    <w:rsid w:val="235B27CC"/>
    <w:rsid w:val="239F090A"/>
    <w:rsid w:val="23C14D25"/>
    <w:rsid w:val="23C860B3"/>
    <w:rsid w:val="23EB1DA2"/>
    <w:rsid w:val="243B4AD7"/>
    <w:rsid w:val="244B2840"/>
    <w:rsid w:val="246851A0"/>
    <w:rsid w:val="24A84769"/>
    <w:rsid w:val="24FB4266"/>
    <w:rsid w:val="25056E93"/>
    <w:rsid w:val="25180974"/>
    <w:rsid w:val="25534FFB"/>
    <w:rsid w:val="25A14E0E"/>
    <w:rsid w:val="25B368EF"/>
    <w:rsid w:val="25CE197B"/>
    <w:rsid w:val="25CE3729"/>
    <w:rsid w:val="25E4087A"/>
    <w:rsid w:val="26013AFE"/>
    <w:rsid w:val="26104DC3"/>
    <w:rsid w:val="26235823"/>
    <w:rsid w:val="26377520"/>
    <w:rsid w:val="263A2B6C"/>
    <w:rsid w:val="26564231"/>
    <w:rsid w:val="265C1669"/>
    <w:rsid w:val="265F1667"/>
    <w:rsid w:val="26647BE9"/>
    <w:rsid w:val="26AB75C6"/>
    <w:rsid w:val="26B02E2F"/>
    <w:rsid w:val="26C64400"/>
    <w:rsid w:val="26E054C2"/>
    <w:rsid w:val="26F23447"/>
    <w:rsid w:val="26F56961"/>
    <w:rsid w:val="26FE003E"/>
    <w:rsid w:val="27391076"/>
    <w:rsid w:val="274F0899"/>
    <w:rsid w:val="27734588"/>
    <w:rsid w:val="278B0764"/>
    <w:rsid w:val="279B3ADF"/>
    <w:rsid w:val="27A04C51"/>
    <w:rsid w:val="27A504B9"/>
    <w:rsid w:val="27AE1D78"/>
    <w:rsid w:val="27D50D9F"/>
    <w:rsid w:val="27FC27CF"/>
    <w:rsid w:val="28101DD7"/>
    <w:rsid w:val="28186EDD"/>
    <w:rsid w:val="28237D5C"/>
    <w:rsid w:val="283A50A6"/>
    <w:rsid w:val="284101E2"/>
    <w:rsid w:val="284877C3"/>
    <w:rsid w:val="287C121A"/>
    <w:rsid w:val="28B5472C"/>
    <w:rsid w:val="28BA1D43"/>
    <w:rsid w:val="28C3509B"/>
    <w:rsid w:val="28C826B1"/>
    <w:rsid w:val="28CD5F1A"/>
    <w:rsid w:val="28D01566"/>
    <w:rsid w:val="28DB0637"/>
    <w:rsid w:val="28E219C5"/>
    <w:rsid w:val="28EA6ACC"/>
    <w:rsid w:val="290F75E7"/>
    <w:rsid w:val="29111113"/>
    <w:rsid w:val="29475CCC"/>
    <w:rsid w:val="294C6E3F"/>
    <w:rsid w:val="295D104C"/>
    <w:rsid w:val="29785E86"/>
    <w:rsid w:val="297A7E50"/>
    <w:rsid w:val="299407E6"/>
    <w:rsid w:val="29A529F3"/>
    <w:rsid w:val="29B36EBE"/>
    <w:rsid w:val="29DA08EE"/>
    <w:rsid w:val="29DB6414"/>
    <w:rsid w:val="29DD3F3B"/>
    <w:rsid w:val="29EE439A"/>
    <w:rsid w:val="29F86FC6"/>
    <w:rsid w:val="2A1A0CEB"/>
    <w:rsid w:val="2A5319FD"/>
    <w:rsid w:val="2A6428AE"/>
    <w:rsid w:val="2AB23356"/>
    <w:rsid w:val="2AB253C7"/>
    <w:rsid w:val="2AC1560A"/>
    <w:rsid w:val="2ACB4670"/>
    <w:rsid w:val="2ACD2201"/>
    <w:rsid w:val="2ACF7D27"/>
    <w:rsid w:val="2AD510B6"/>
    <w:rsid w:val="2AE54CEB"/>
    <w:rsid w:val="2AE65071"/>
    <w:rsid w:val="2B0674C1"/>
    <w:rsid w:val="2B125E66"/>
    <w:rsid w:val="2B25203D"/>
    <w:rsid w:val="2B2636BF"/>
    <w:rsid w:val="2B34402E"/>
    <w:rsid w:val="2B3758CC"/>
    <w:rsid w:val="2B4029D3"/>
    <w:rsid w:val="2B434271"/>
    <w:rsid w:val="2B5446D0"/>
    <w:rsid w:val="2B597F39"/>
    <w:rsid w:val="2B960048"/>
    <w:rsid w:val="2BA256A1"/>
    <w:rsid w:val="2BAD6949"/>
    <w:rsid w:val="2BC2163A"/>
    <w:rsid w:val="2BC37160"/>
    <w:rsid w:val="2C0C217F"/>
    <w:rsid w:val="2C2B2026"/>
    <w:rsid w:val="2C723060"/>
    <w:rsid w:val="2C7F39CF"/>
    <w:rsid w:val="2CA64AB8"/>
    <w:rsid w:val="2D12214D"/>
    <w:rsid w:val="2D55028C"/>
    <w:rsid w:val="2D67693D"/>
    <w:rsid w:val="2D756462"/>
    <w:rsid w:val="2DB651CE"/>
    <w:rsid w:val="2DBF3691"/>
    <w:rsid w:val="2DCE076A"/>
    <w:rsid w:val="2DCF003E"/>
    <w:rsid w:val="2DD97E9D"/>
    <w:rsid w:val="2DE97352"/>
    <w:rsid w:val="2E053A60"/>
    <w:rsid w:val="2E1D349F"/>
    <w:rsid w:val="2E6C1D31"/>
    <w:rsid w:val="2ECD0A22"/>
    <w:rsid w:val="2ED2428A"/>
    <w:rsid w:val="2ED7364E"/>
    <w:rsid w:val="2F1C5505"/>
    <w:rsid w:val="2F261EE0"/>
    <w:rsid w:val="2F4866CE"/>
    <w:rsid w:val="2F4A02C4"/>
    <w:rsid w:val="2F520F27"/>
    <w:rsid w:val="2F5922B5"/>
    <w:rsid w:val="2F884949"/>
    <w:rsid w:val="2F8D01B1"/>
    <w:rsid w:val="2FA07EE4"/>
    <w:rsid w:val="2FA71273"/>
    <w:rsid w:val="2FB614B6"/>
    <w:rsid w:val="2FC811E9"/>
    <w:rsid w:val="2FE75B13"/>
    <w:rsid w:val="2FFD7709"/>
    <w:rsid w:val="30161F54"/>
    <w:rsid w:val="301F34FF"/>
    <w:rsid w:val="304C4141"/>
    <w:rsid w:val="30515682"/>
    <w:rsid w:val="307373A7"/>
    <w:rsid w:val="30896BCA"/>
    <w:rsid w:val="30AC4667"/>
    <w:rsid w:val="30BA4FD6"/>
    <w:rsid w:val="30BB2AFC"/>
    <w:rsid w:val="30BF25EC"/>
    <w:rsid w:val="30C220DC"/>
    <w:rsid w:val="30E7123C"/>
    <w:rsid w:val="31083F93"/>
    <w:rsid w:val="310E70CF"/>
    <w:rsid w:val="31374878"/>
    <w:rsid w:val="313E5C07"/>
    <w:rsid w:val="316247AA"/>
    <w:rsid w:val="316513E5"/>
    <w:rsid w:val="3175714F"/>
    <w:rsid w:val="318F6462"/>
    <w:rsid w:val="31992E3D"/>
    <w:rsid w:val="31AD4B3A"/>
    <w:rsid w:val="31DE2EB7"/>
    <w:rsid w:val="31E22A36"/>
    <w:rsid w:val="327613D0"/>
    <w:rsid w:val="329B2608"/>
    <w:rsid w:val="32A221C5"/>
    <w:rsid w:val="32AB107A"/>
    <w:rsid w:val="32DA0069"/>
    <w:rsid w:val="32DD4FAB"/>
    <w:rsid w:val="32E40A97"/>
    <w:rsid w:val="32FD564D"/>
    <w:rsid w:val="331035D3"/>
    <w:rsid w:val="33122EA7"/>
    <w:rsid w:val="33136C1F"/>
    <w:rsid w:val="3321133C"/>
    <w:rsid w:val="3353526D"/>
    <w:rsid w:val="338418CB"/>
    <w:rsid w:val="33857B1D"/>
    <w:rsid w:val="33955886"/>
    <w:rsid w:val="339733AC"/>
    <w:rsid w:val="33B91574"/>
    <w:rsid w:val="33BC72B7"/>
    <w:rsid w:val="33BE4DDD"/>
    <w:rsid w:val="33C5616B"/>
    <w:rsid w:val="33CA3782"/>
    <w:rsid w:val="33D77C4D"/>
    <w:rsid w:val="340071A3"/>
    <w:rsid w:val="34360E17"/>
    <w:rsid w:val="343C3F54"/>
    <w:rsid w:val="34480B4A"/>
    <w:rsid w:val="3454129D"/>
    <w:rsid w:val="345F4A2D"/>
    <w:rsid w:val="34825E0A"/>
    <w:rsid w:val="349B03E5"/>
    <w:rsid w:val="349D0E96"/>
    <w:rsid w:val="349D2C44"/>
    <w:rsid w:val="34A22009"/>
    <w:rsid w:val="34B32468"/>
    <w:rsid w:val="34B5217A"/>
    <w:rsid w:val="34C208FD"/>
    <w:rsid w:val="34CF248E"/>
    <w:rsid w:val="34D348B8"/>
    <w:rsid w:val="34DA5C46"/>
    <w:rsid w:val="35042CC3"/>
    <w:rsid w:val="35150A2C"/>
    <w:rsid w:val="352262AE"/>
    <w:rsid w:val="3550415A"/>
    <w:rsid w:val="35773495"/>
    <w:rsid w:val="358362DE"/>
    <w:rsid w:val="358A15BF"/>
    <w:rsid w:val="358D2CB9"/>
    <w:rsid w:val="358D4A67"/>
    <w:rsid w:val="35906305"/>
    <w:rsid w:val="35963A08"/>
    <w:rsid w:val="35CB558F"/>
    <w:rsid w:val="361A2073"/>
    <w:rsid w:val="362C24D2"/>
    <w:rsid w:val="364C4922"/>
    <w:rsid w:val="36541A28"/>
    <w:rsid w:val="365612FD"/>
    <w:rsid w:val="367E6AA5"/>
    <w:rsid w:val="369869D2"/>
    <w:rsid w:val="36A4475E"/>
    <w:rsid w:val="36A93B22"/>
    <w:rsid w:val="36AA5AEC"/>
    <w:rsid w:val="36B204FD"/>
    <w:rsid w:val="36B9188B"/>
    <w:rsid w:val="36E92171"/>
    <w:rsid w:val="36EC7EB3"/>
    <w:rsid w:val="37070849"/>
    <w:rsid w:val="37307DA0"/>
    <w:rsid w:val="37321D6A"/>
    <w:rsid w:val="373F4487"/>
    <w:rsid w:val="37461371"/>
    <w:rsid w:val="3748158D"/>
    <w:rsid w:val="377063EE"/>
    <w:rsid w:val="37B7401D"/>
    <w:rsid w:val="37D050DF"/>
    <w:rsid w:val="37FE7E9E"/>
    <w:rsid w:val="38141EFE"/>
    <w:rsid w:val="383E029A"/>
    <w:rsid w:val="38431D54"/>
    <w:rsid w:val="38482EC7"/>
    <w:rsid w:val="384F06F9"/>
    <w:rsid w:val="3861474D"/>
    <w:rsid w:val="387D1690"/>
    <w:rsid w:val="388365F5"/>
    <w:rsid w:val="38A26A7B"/>
    <w:rsid w:val="38A722E3"/>
    <w:rsid w:val="38BF587F"/>
    <w:rsid w:val="38C5276A"/>
    <w:rsid w:val="38E55D2E"/>
    <w:rsid w:val="38F35529"/>
    <w:rsid w:val="38F80D91"/>
    <w:rsid w:val="39162FC5"/>
    <w:rsid w:val="392576AC"/>
    <w:rsid w:val="39754190"/>
    <w:rsid w:val="39A14F85"/>
    <w:rsid w:val="39B06F76"/>
    <w:rsid w:val="39B527DE"/>
    <w:rsid w:val="39C40C73"/>
    <w:rsid w:val="39D2513E"/>
    <w:rsid w:val="39DE7F87"/>
    <w:rsid w:val="39EE7A9E"/>
    <w:rsid w:val="3A0379ED"/>
    <w:rsid w:val="3A0472C2"/>
    <w:rsid w:val="3A183C95"/>
    <w:rsid w:val="3A7206CF"/>
    <w:rsid w:val="3A8C79E3"/>
    <w:rsid w:val="3A9248CD"/>
    <w:rsid w:val="3AAD7959"/>
    <w:rsid w:val="3ACC4283"/>
    <w:rsid w:val="3ADB44C6"/>
    <w:rsid w:val="3AEE244B"/>
    <w:rsid w:val="3B304812"/>
    <w:rsid w:val="3B343BD6"/>
    <w:rsid w:val="3B365BA1"/>
    <w:rsid w:val="3B3B4F65"/>
    <w:rsid w:val="3B6049CB"/>
    <w:rsid w:val="3B7F4E52"/>
    <w:rsid w:val="3B8763FC"/>
    <w:rsid w:val="3B984165"/>
    <w:rsid w:val="3B9F54F4"/>
    <w:rsid w:val="3BAC7C11"/>
    <w:rsid w:val="3BAE1BDB"/>
    <w:rsid w:val="3BB54D17"/>
    <w:rsid w:val="3BD57167"/>
    <w:rsid w:val="3C017F5D"/>
    <w:rsid w:val="3C073099"/>
    <w:rsid w:val="3C090BBF"/>
    <w:rsid w:val="3C3B1EF8"/>
    <w:rsid w:val="3C410359"/>
    <w:rsid w:val="3C4936B2"/>
    <w:rsid w:val="3C4A6A2B"/>
    <w:rsid w:val="3C812E4B"/>
    <w:rsid w:val="3C8E3FF1"/>
    <w:rsid w:val="3C8F7316"/>
    <w:rsid w:val="3CB94393"/>
    <w:rsid w:val="3CD411CD"/>
    <w:rsid w:val="3CD92C87"/>
    <w:rsid w:val="3D346110"/>
    <w:rsid w:val="3D474095"/>
    <w:rsid w:val="3D70539A"/>
    <w:rsid w:val="3D7F55DD"/>
    <w:rsid w:val="3D932E36"/>
    <w:rsid w:val="3DBB1AA6"/>
    <w:rsid w:val="3DD27E02"/>
    <w:rsid w:val="3DE9514C"/>
    <w:rsid w:val="3DFB09DB"/>
    <w:rsid w:val="3E2717D1"/>
    <w:rsid w:val="3E2F5F23"/>
    <w:rsid w:val="3E353EED"/>
    <w:rsid w:val="3E5A7DF8"/>
    <w:rsid w:val="3E5E7C6F"/>
    <w:rsid w:val="3EA00DD4"/>
    <w:rsid w:val="3EAA48DB"/>
    <w:rsid w:val="3EB219E2"/>
    <w:rsid w:val="3EF43DA9"/>
    <w:rsid w:val="3EF50C5D"/>
    <w:rsid w:val="3EF76A35"/>
    <w:rsid w:val="3F0D09C6"/>
    <w:rsid w:val="3F1461F9"/>
    <w:rsid w:val="3F19380F"/>
    <w:rsid w:val="3F454604"/>
    <w:rsid w:val="3F650802"/>
    <w:rsid w:val="3F8022D8"/>
    <w:rsid w:val="3F9133A5"/>
    <w:rsid w:val="3FBD23EC"/>
    <w:rsid w:val="3FD15E98"/>
    <w:rsid w:val="3FDD6F27"/>
    <w:rsid w:val="400A45F9"/>
    <w:rsid w:val="402C1320"/>
    <w:rsid w:val="403A57EB"/>
    <w:rsid w:val="407C5E04"/>
    <w:rsid w:val="40A13ABC"/>
    <w:rsid w:val="40B938E1"/>
    <w:rsid w:val="40BC26A4"/>
    <w:rsid w:val="40C15F0C"/>
    <w:rsid w:val="40E045E4"/>
    <w:rsid w:val="40E439A9"/>
    <w:rsid w:val="41061B71"/>
    <w:rsid w:val="41272213"/>
    <w:rsid w:val="412F10C8"/>
    <w:rsid w:val="41322966"/>
    <w:rsid w:val="415428DD"/>
    <w:rsid w:val="416A0352"/>
    <w:rsid w:val="417E3DFD"/>
    <w:rsid w:val="419B675D"/>
    <w:rsid w:val="41A63BF5"/>
    <w:rsid w:val="41A95D0C"/>
    <w:rsid w:val="41C9151C"/>
    <w:rsid w:val="41E53E7C"/>
    <w:rsid w:val="41E87CE3"/>
    <w:rsid w:val="41EA1493"/>
    <w:rsid w:val="41F83BB0"/>
    <w:rsid w:val="41FB544E"/>
    <w:rsid w:val="42254279"/>
    <w:rsid w:val="42280D92"/>
    <w:rsid w:val="422C5607"/>
    <w:rsid w:val="42462B6D"/>
    <w:rsid w:val="42672AE3"/>
    <w:rsid w:val="42870A90"/>
    <w:rsid w:val="42976F25"/>
    <w:rsid w:val="429D02B3"/>
    <w:rsid w:val="42AB6E74"/>
    <w:rsid w:val="42D524E0"/>
    <w:rsid w:val="43394075"/>
    <w:rsid w:val="43601A0D"/>
    <w:rsid w:val="43A22025"/>
    <w:rsid w:val="43AA0EDA"/>
    <w:rsid w:val="43BB30E7"/>
    <w:rsid w:val="43EC504E"/>
    <w:rsid w:val="4416656F"/>
    <w:rsid w:val="442C7B41"/>
    <w:rsid w:val="44405732"/>
    <w:rsid w:val="44564BBE"/>
    <w:rsid w:val="446217B4"/>
    <w:rsid w:val="44A6643B"/>
    <w:rsid w:val="44B02520"/>
    <w:rsid w:val="44B32010"/>
    <w:rsid w:val="44E65F41"/>
    <w:rsid w:val="44E81CBA"/>
    <w:rsid w:val="44F04B57"/>
    <w:rsid w:val="450E5498"/>
    <w:rsid w:val="45156827"/>
    <w:rsid w:val="45462E84"/>
    <w:rsid w:val="456A4DC4"/>
    <w:rsid w:val="45765517"/>
    <w:rsid w:val="45965BB9"/>
    <w:rsid w:val="45A100BA"/>
    <w:rsid w:val="45B750ED"/>
    <w:rsid w:val="4607616F"/>
    <w:rsid w:val="461B1C1B"/>
    <w:rsid w:val="461F5ADC"/>
    <w:rsid w:val="462C02CC"/>
    <w:rsid w:val="46713F31"/>
    <w:rsid w:val="46737CA9"/>
    <w:rsid w:val="46C87FF5"/>
    <w:rsid w:val="46CB1893"/>
    <w:rsid w:val="47305B9A"/>
    <w:rsid w:val="473867FC"/>
    <w:rsid w:val="47501D98"/>
    <w:rsid w:val="478C7274"/>
    <w:rsid w:val="47E0136E"/>
    <w:rsid w:val="480A63EB"/>
    <w:rsid w:val="48117779"/>
    <w:rsid w:val="48217291"/>
    <w:rsid w:val="48253782"/>
    <w:rsid w:val="48265822"/>
    <w:rsid w:val="48286871"/>
    <w:rsid w:val="48364707"/>
    <w:rsid w:val="483B0352"/>
    <w:rsid w:val="48657AC5"/>
    <w:rsid w:val="48671147"/>
    <w:rsid w:val="48710218"/>
    <w:rsid w:val="487A3570"/>
    <w:rsid w:val="489B34E7"/>
    <w:rsid w:val="48C91E02"/>
    <w:rsid w:val="48DC6061"/>
    <w:rsid w:val="48E21116"/>
    <w:rsid w:val="48E924A4"/>
    <w:rsid w:val="49357497"/>
    <w:rsid w:val="493A685C"/>
    <w:rsid w:val="49635DB3"/>
    <w:rsid w:val="498961BD"/>
    <w:rsid w:val="49956188"/>
    <w:rsid w:val="49A308A5"/>
    <w:rsid w:val="49A5461D"/>
    <w:rsid w:val="49A903D6"/>
    <w:rsid w:val="49B26D3A"/>
    <w:rsid w:val="49EC0B96"/>
    <w:rsid w:val="49F509D5"/>
    <w:rsid w:val="4A203CA4"/>
    <w:rsid w:val="4A273284"/>
    <w:rsid w:val="4A3B288C"/>
    <w:rsid w:val="4A3E7B27"/>
    <w:rsid w:val="4A4A0D21"/>
    <w:rsid w:val="4A6A3171"/>
    <w:rsid w:val="4A897A9B"/>
    <w:rsid w:val="4AB8212E"/>
    <w:rsid w:val="4AC97E97"/>
    <w:rsid w:val="4ACC6DEF"/>
    <w:rsid w:val="4AF84C20"/>
    <w:rsid w:val="4B0709C0"/>
    <w:rsid w:val="4B117A90"/>
    <w:rsid w:val="4B1650A7"/>
    <w:rsid w:val="4B201A81"/>
    <w:rsid w:val="4B250C74"/>
    <w:rsid w:val="4B3F45FD"/>
    <w:rsid w:val="4B55797D"/>
    <w:rsid w:val="4B5736F5"/>
    <w:rsid w:val="4B7A3887"/>
    <w:rsid w:val="4B893ACB"/>
    <w:rsid w:val="4BD302E8"/>
    <w:rsid w:val="4BDA60D4"/>
    <w:rsid w:val="4BF21670"/>
    <w:rsid w:val="4C0A1DE1"/>
    <w:rsid w:val="4C194E4E"/>
    <w:rsid w:val="4C3265F7"/>
    <w:rsid w:val="4C365A00"/>
    <w:rsid w:val="4C3D1B2E"/>
    <w:rsid w:val="4C4F6AC2"/>
    <w:rsid w:val="4C6A56AA"/>
    <w:rsid w:val="4CBE1552"/>
    <w:rsid w:val="4CC96874"/>
    <w:rsid w:val="4CDF6AF8"/>
    <w:rsid w:val="4CE511D4"/>
    <w:rsid w:val="4D13416C"/>
    <w:rsid w:val="4D665E71"/>
    <w:rsid w:val="4D6B4B4B"/>
    <w:rsid w:val="4D7F5581"/>
    <w:rsid w:val="4D9F75D5"/>
    <w:rsid w:val="4DBD6FC4"/>
    <w:rsid w:val="4DD20112"/>
    <w:rsid w:val="4DE60D60"/>
    <w:rsid w:val="4DEE5E67"/>
    <w:rsid w:val="4E5C7274"/>
    <w:rsid w:val="4E807407"/>
    <w:rsid w:val="4E9B5FEF"/>
    <w:rsid w:val="4EA03605"/>
    <w:rsid w:val="4EC310A1"/>
    <w:rsid w:val="4ECD3CCE"/>
    <w:rsid w:val="4EF86F9D"/>
    <w:rsid w:val="4F02606E"/>
    <w:rsid w:val="4F2204BE"/>
    <w:rsid w:val="4F2A1121"/>
    <w:rsid w:val="4F2C5BB0"/>
    <w:rsid w:val="4F3855EC"/>
    <w:rsid w:val="4F416B96"/>
    <w:rsid w:val="4F506DD9"/>
    <w:rsid w:val="4F5543EF"/>
    <w:rsid w:val="4F6C1739"/>
    <w:rsid w:val="4F786330"/>
    <w:rsid w:val="4FA74664"/>
    <w:rsid w:val="4FB31116"/>
    <w:rsid w:val="4FDC241B"/>
    <w:rsid w:val="4FE85264"/>
    <w:rsid w:val="4FE94B38"/>
    <w:rsid w:val="4FF21C3E"/>
    <w:rsid w:val="500B0F52"/>
    <w:rsid w:val="502D5813"/>
    <w:rsid w:val="50371D47"/>
    <w:rsid w:val="5076286F"/>
    <w:rsid w:val="50947199"/>
    <w:rsid w:val="50BE7D72"/>
    <w:rsid w:val="50CF15CB"/>
    <w:rsid w:val="50CF6572"/>
    <w:rsid w:val="50FF01C2"/>
    <w:rsid w:val="510936E3"/>
    <w:rsid w:val="51136310"/>
    <w:rsid w:val="5119144D"/>
    <w:rsid w:val="51295B34"/>
    <w:rsid w:val="5141614D"/>
    <w:rsid w:val="515406D7"/>
    <w:rsid w:val="515F3303"/>
    <w:rsid w:val="51736DAF"/>
    <w:rsid w:val="51764AF1"/>
    <w:rsid w:val="51B13C95"/>
    <w:rsid w:val="51C25640"/>
    <w:rsid w:val="51C8534D"/>
    <w:rsid w:val="51D11D27"/>
    <w:rsid w:val="51DB6702"/>
    <w:rsid w:val="51DD691E"/>
    <w:rsid w:val="51F53C68"/>
    <w:rsid w:val="5208399B"/>
    <w:rsid w:val="52595FA5"/>
    <w:rsid w:val="52854FEC"/>
    <w:rsid w:val="52B7716F"/>
    <w:rsid w:val="52C5188C"/>
    <w:rsid w:val="52F45CCD"/>
    <w:rsid w:val="53422EDD"/>
    <w:rsid w:val="534F55FA"/>
    <w:rsid w:val="53837051"/>
    <w:rsid w:val="53980D4F"/>
    <w:rsid w:val="53B316E5"/>
    <w:rsid w:val="53CB1124"/>
    <w:rsid w:val="542E01C7"/>
    <w:rsid w:val="54774E08"/>
    <w:rsid w:val="54AB4AB2"/>
    <w:rsid w:val="54CE12E6"/>
    <w:rsid w:val="54D87240"/>
    <w:rsid w:val="54DA7145"/>
    <w:rsid w:val="54DC4C6B"/>
    <w:rsid w:val="551B5793"/>
    <w:rsid w:val="55434CEA"/>
    <w:rsid w:val="55480552"/>
    <w:rsid w:val="55833339"/>
    <w:rsid w:val="559519EA"/>
    <w:rsid w:val="55EC65BF"/>
    <w:rsid w:val="55EE5599"/>
    <w:rsid w:val="56020701"/>
    <w:rsid w:val="560721BC"/>
    <w:rsid w:val="56102E1E"/>
    <w:rsid w:val="561C5C67"/>
    <w:rsid w:val="565465FE"/>
    <w:rsid w:val="567710EF"/>
    <w:rsid w:val="5697353F"/>
    <w:rsid w:val="56AF0889"/>
    <w:rsid w:val="56AF6ADB"/>
    <w:rsid w:val="56E85B49"/>
    <w:rsid w:val="56EA7B13"/>
    <w:rsid w:val="56EE0C86"/>
    <w:rsid w:val="56FB1D20"/>
    <w:rsid w:val="570109B9"/>
    <w:rsid w:val="570B1838"/>
    <w:rsid w:val="57415259"/>
    <w:rsid w:val="57452F9B"/>
    <w:rsid w:val="577613A7"/>
    <w:rsid w:val="57776ECD"/>
    <w:rsid w:val="578810DA"/>
    <w:rsid w:val="579E445A"/>
    <w:rsid w:val="57A557E8"/>
    <w:rsid w:val="57A71560"/>
    <w:rsid w:val="57B123DF"/>
    <w:rsid w:val="57EE3633"/>
    <w:rsid w:val="57F0757F"/>
    <w:rsid w:val="57FE314A"/>
    <w:rsid w:val="580544D9"/>
    <w:rsid w:val="58450D79"/>
    <w:rsid w:val="585A65D3"/>
    <w:rsid w:val="585F1E3B"/>
    <w:rsid w:val="5875165E"/>
    <w:rsid w:val="58847AF3"/>
    <w:rsid w:val="58D2085F"/>
    <w:rsid w:val="590643DA"/>
    <w:rsid w:val="59084281"/>
    <w:rsid w:val="59205A6E"/>
    <w:rsid w:val="59232E69"/>
    <w:rsid w:val="59350DEE"/>
    <w:rsid w:val="59464DA9"/>
    <w:rsid w:val="595C637A"/>
    <w:rsid w:val="596976EA"/>
    <w:rsid w:val="596A4F3B"/>
    <w:rsid w:val="5976568E"/>
    <w:rsid w:val="59CA7788"/>
    <w:rsid w:val="59EF71EF"/>
    <w:rsid w:val="59F64A21"/>
    <w:rsid w:val="5A1804F3"/>
    <w:rsid w:val="5A1D1FAE"/>
    <w:rsid w:val="5A24333C"/>
    <w:rsid w:val="5A296BA4"/>
    <w:rsid w:val="5A5D0A3D"/>
    <w:rsid w:val="5A61633E"/>
    <w:rsid w:val="5A8E2EAB"/>
    <w:rsid w:val="5A9C75F4"/>
    <w:rsid w:val="5A9D6C4B"/>
    <w:rsid w:val="5ABF3065"/>
    <w:rsid w:val="5AEB36A2"/>
    <w:rsid w:val="5B084A0C"/>
    <w:rsid w:val="5B500161"/>
    <w:rsid w:val="5B760F9C"/>
    <w:rsid w:val="5B8A0BEC"/>
    <w:rsid w:val="5B935C4E"/>
    <w:rsid w:val="5BB157CA"/>
    <w:rsid w:val="5BBE50CA"/>
    <w:rsid w:val="5BD62414"/>
    <w:rsid w:val="5BEC60DC"/>
    <w:rsid w:val="5BFC5BF3"/>
    <w:rsid w:val="5C001B87"/>
    <w:rsid w:val="5C142F3C"/>
    <w:rsid w:val="5C270EC2"/>
    <w:rsid w:val="5C5A21E8"/>
    <w:rsid w:val="5C6C0FCA"/>
    <w:rsid w:val="5C9127DF"/>
    <w:rsid w:val="5CA42512"/>
    <w:rsid w:val="5CA442C0"/>
    <w:rsid w:val="5CAE513F"/>
    <w:rsid w:val="5CD10E2D"/>
    <w:rsid w:val="5CE2303B"/>
    <w:rsid w:val="5CE9462C"/>
    <w:rsid w:val="5CFA4828"/>
    <w:rsid w:val="5D0B2591"/>
    <w:rsid w:val="5D13493A"/>
    <w:rsid w:val="5D1A6C78"/>
    <w:rsid w:val="5D2E002E"/>
    <w:rsid w:val="5D3E4715"/>
    <w:rsid w:val="5D577585"/>
    <w:rsid w:val="5D6121B1"/>
    <w:rsid w:val="5D6972B8"/>
    <w:rsid w:val="5D700646"/>
    <w:rsid w:val="5D7C6FEB"/>
    <w:rsid w:val="5D83481E"/>
    <w:rsid w:val="5D852344"/>
    <w:rsid w:val="5D883BE2"/>
    <w:rsid w:val="5DAC2B79"/>
    <w:rsid w:val="5DB72F61"/>
    <w:rsid w:val="5DB9023F"/>
    <w:rsid w:val="5E27164D"/>
    <w:rsid w:val="5E3344B3"/>
    <w:rsid w:val="5E5D6E1D"/>
    <w:rsid w:val="5E714676"/>
    <w:rsid w:val="5ED66BCF"/>
    <w:rsid w:val="5F1514A5"/>
    <w:rsid w:val="5F1A2F60"/>
    <w:rsid w:val="5F2416E8"/>
    <w:rsid w:val="5F2931A3"/>
    <w:rsid w:val="5F487ACD"/>
    <w:rsid w:val="5F5A7800"/>
    <w:rsid w:val="5F5D2E4C"/>
    <w:rsid w:val="5F7206A6"/>
    <w:rsid w:val="5F73441E"/>
    <w:rsid w:val="5F923098"/>
    <w:rsid w:val="5FB05672"/>
    <w:rsid w:val="5FB76A00"/>
    <w:rsid w:val="5FBC7B73"/>
    <w:rsid w:val="5FE1582B"/>
    <w:rsid w:val="6017124D"/>
    <w:rsid w:val="601B0D3D"/>
    <w:rsid w:val="60297336"/>
    <w:rsid w:val="60413278"/>
    <w:rsid w:val="60533462"/>
    <w:rsid w:val="60AC408B"/>
    <w:rsid w:val="60C413D5"/>
    <w:rsid w:val="60E370FE"/>
    <w:rsid w:val="60E750C3"/>
    <w:rsid w:val="612E4AA0"/>
    <w:rsid w:val="61381330"/>
    <w:rsid w:val="61736957"/>
    <w:rsid w:val="617A7CE6"/>
    <w:rsid w:val="61BD7BD2"/>
    <w:rsid w:val="61D974A5"/>
    <w:rsid w:val="61E3588B"/>
    <w:rsid w:val="61E433B1"/>
    <w:rsid w:val="61E6537B"/>
    <w:rsid w:val="623C31ED"/>
    <w:rsid w:val="624502F4"/>
    <w:rsid w:val="6247406C"/>
    <w:rsid w:val="62500A46"/>
    <w:rsid w:val="626270C3"/>
    <w:rsid w:val="626544F2"/>
    <w:rsid w:val="62662018"/>
    <w:rsid w:val="627209BD"/>
    <w:rsid w:val="62744735"/>
    <w:rsid w:val="62966DA1"/>
    <w:rsid w:val="62AA63A9"/>
    <w:rsid w:val="62AC0373"/>
    <w:rsid w:val="62BD432E"/>
    <w:rsid w:val="62CA6A4B"/>
    <w:rsid w:val="62D13935"/>
    <w:rsid w:val="63035AB9"/>
    <w:rsid w:val="6337770F"/>
    <w:rsid w:val="633A3BD0"/>
    <w:rsid w:val="63520F1A"/>
    <w:rsid w:val="63593A57"/>
    <w:rsid w:val="636724EC"/>
    <w:rsid w:val="63775D33"/>
    <w:rsid w:val="637F15E3"/>
    <w:rsid w:val="63957059"/>
    <w:rsid w:val="639826A5"/>
    <w:rsid w:val="63985EF5"/>
    <w:rsid w:val="63A31776"/>
    <w:rsid w:val="63A8391B"/>
    <w:rsid w:val="63C17E4E"/>
    <w:rsid w:val="63C828CF"/>
    <w:rsid w:val="63CE60C7"/>
    <w:rsid w:val="63F21E60"/>
    <w:rsid w:val="64346872"/>
    <w:rsid w:val="64634A61"/>
    <w:rsid w:val="64833355"/>
    <w:rsid w:val="64850E7B"/>
    <w:rsid w:val="64B67287"/>
    <w:rsid w:val="64C23E7D"/>
    <w:rsid w:val="64D8544F"/>
    <w:rsid w:val="64EF4547"/>
    <w:rsid w:val="650C334B"/>
    <w:rsid w:val="655820EC"/>
    <w:rsid w:val="65613696"/>
    <w:rsid w:val="65757142"/>
    <w:rsid w:val="658B24C1"/>
    <w:rsid w:val="65B55790"/>
    <w:rsid w:val="65C15EE3"/>
    <w:rsid w:val="65E87914"/>
    <w:rsid w:val="65EC0A86"/>
    <w:rsid w:val="65F5093A"/>
    <w:rsid w:val="66216982"/>
    <w:rsid w:val="664B1C51"/>
    <w:rsid w:val="664F7993"/>
    <w:rsid w:val="66507267"/>
    <w:rsid w:val="66680A54"/>
    <w:rsid w:val="66772A46"/>
    <w:rsid w:val="66805D9E"/>
    <w:rsid w:val="66833198"/>
    <w:rsid w:val="669B2A33"/>
    <w:rsid w:val="66AA2E1B"/>
    <w:rsid w:val="66C814F3"/>
    <w:rsid w:val="66D32372"/>
    <w:rsid w:val="66DA3E7F"/>
    <w:rsid w:val="66ED0F5A"/>
    <w:rsid w:val="66F916AD"/>
    <w:rsid w:val="66F9345B"/>
    <w:rsid w:val="670544F5"/>
    <w:rsid w:val="67386679"/>
    <w:rsid w:val="673F17B5"/>
    <w:rsid w:val="67486190"/>
    <w:rsid w:val="6760797E"/>
    <w:rsid w:val="67650123"/>
    <w:rsid w:val="677E1BB2"/>
    <w:rsid w:val="678418BE"/>
    <w:rsid w:val="6784541A"/>
    <w:rsid w:val="67987287"/>
    <w:rsid w:val="679B09B6"/>
    <w:rsid w:val="67C223E6"/>
    <w:rsid w:val="67C972D1"/>
    <w:rsid w:val="67D276DA"/>
    <w:rsid w:val="67D77C40"/>
    <w:rsid w:val="682664D1"/>
    <w:rsid w:val="68660FC4"/>
    <w:rsid w:val="68686AEA"/>
    <w:rsid w:val="686E7234"/>
    <w:rsid w:val="688838B5"/>
    <w:rsid w:val="68A13DAA"/>
    <w:rsid w:val="68BC2510"/>
    <w:rsid w:val="68CB0E27"/>
    <w:rsid w:val="68CF6B8B"/>
    <w:rsid w:val="68F77E6E"/>
    <w:rsid w:val="6917406C"/>
    <w:rsid w:val="692F7608"/>
    <w:rsid w:val="69605A13"/>
    <w:rsid w:val="69670B4F"/>
    <w:rsid w:val="696A4AE4"/>
    <w:rsid w:val="697B3165"/>
    <w:rsid w:val="698312B8"/>
    <w:rsid w:val="699D0A15"/>
    <w:rsid w:val="69C2047C"/>
    <w:rsid w:val="69C441F4"/>
    <w:rsid w:val="69DD52B6"/>
    <w:rsid w:val="69EC2C24"/>
    <w:rsid w:val="6A5C267E"/>
    <w:rsid w:val="6A6D03E7"/>
    <w:rsid w:val="6A7F45BF"/>
    <w:rsid w:val="6A8614A9"/>
    <w:rsid w:val="6A876FCF"/>
    <w:rsid w:val="6A9811DC"/>
    <w:rsid w:val="6AC36259"/>
    <w:rsid w:val="6ACD70D8"/>
    <w:rsid w:val="6ACF10A2"/>
    <w:rsid w:val="6AD00976"/>
    <w:rsid w:val="6AD40467"/>
    <w:rsid w:val="6AEF52A0"/>
    <w:rsid w:val="6B1116BB"/>
    <w:rsid w:val="6B234F4A"/>
    <w:rsid w:val="6B256F14"/>
    <w:rsid w:val="6B340F05"/>
    <w:rsid w:val="6B5477F9"/>
    <w:rsid w:val="6B6F4633"/>
    <w:rsid w:val="6B8D6867"/>
    <w:rsid w:val="6BC71D79"/>
    <w:rsid w:val="6BCB6B4F"/>
    <w:rsid w:val="6BE24E05"/>
    <w:rsid w:val="6BEC358E"/>
    <w:rsid w:val="6C027255"/>
    <w:rsid w:val="6C133210"/>
    <w:rsid w:val="6C2E1DF8"/>
    <w:rsid w:val="6C353187"/>
    <w:rsid w:val="6C417D7E"/>
    <w:rsid w:val="6C5F4375"/>
    <w:rsid w:val="6CA83959"/>
    <w:rsid w:val="6CDC1854"/>
    <w:rsid w:val="6CDC7AA6"/>
    <w:rsid w:val="6CE16E6B"/>
    <w:rsid w:val="6D0D7C60"/>
    <w:rsid w:val="6D2A6A64"/>
    <w:rsid w:val="6D3E606B"/>
    <w:rsid w:val="6D45564C"/>
    <w:rsid w:val="6D5444AE"/>
    <w:rsid w:val="6D7C6B93"/>
    <w:rsid w:val="6D8A305E"/>
    <w:rsid w:val="6DA00AD4"/>
    <w:rsid w:val="6DA06D26"/>
    <w:rsid w:val="6DBC51E2"/>
    <w:rsid w:val="6DC20BDF"/>
    <w:rsid w:val="6DF332FA"/>
    <w:rsid w:val="6E072901"/>
    <w:rsid w:val="6E3556C0"/>
    <w:rsid w:val="6E364F94"/>
    <w:rsid w:val="6E5024FA"/>
    <w:rsid w:val="6EB052C5"/>
    <w:rsid w:val="6F1A48B6"/>
    <w:rsid w:val="6F2614AD"/>
    <w:rsid w:val="6F413BF1"/>
    <w:rsid w:val="6F484F7F"/>
    <w:rsid w:val="6F8F2BAE"/>
    <w:rsid w:val="6F914B78"/>
    <w:rsid w:val="6F944668"/>
    <w:rsid w:val="6F993A2D"/>
    <w:rsid w:val="6FCA008A"/>
    <w:rsid w:val="6FDC1B6B"/>
    <w:rsid w:val="6FDD7DBD"/>
    <w:rsid w:val="6FE56C72"/>
    <w:rsid w:val="6FF15617"/>
    <w:rsid w:val="6FF70753"/>
    <w:rsid w:val="70074E3A"/>
    <w:rsid w:val="700C41FF"/>
    <w:rsid w:val="70147557"/>
    <w:rsid w:val="7021134A"/>
    <w:rsid w:val="702E1BFA"/>
    <w:rsid w:val="704C0A9F"/>
    <w:rsid w:val="705838E8"/>
    <w:rsid w:val="7064228D"/>
    <w:rsid w:val="70730722"/>
    <w:rsid w:val="7075449A"/>
    <w:rsid w:val="7081017C"/>
    <w:rsid w:val="70A26911"/>
    <w:rsid w:val="70A66401"/>
    <w:rsid w:val="70A711B4"/>
    <w:rsid w:val="70D311C0"/>
    <w:rsid w:val="71063344"/>
    <w:rsid w:val="71080E6A"/>
    <w:rsid w:val="71257C6E"/>
    <w:rsid w:val="71265794"/>
    <w:rsid w:val="712E4649"/>
    <w:rsid w:val="71303888"/>
    <w:rsid w:val="714F4CEB"/>
    <w:rsid w:val="715A543E"/>
    <w:rsid w:val="71867FE1"/>
    <w:rsid w:val="71AA1F21"/>
    <w:rsid w:val="71BB5EDC"/>
    <w:rsid w:val="71CB1E97"/>
    <w:rsid w:val="71F4319C"/>
    <w:rsid w:val="71F80EDE"/>
    <w:rsid w:val="72077373"/>
    <w:rsid w:val="721970A7"/>
    <w:rsid w:val="722C2936"/>
    <w:rsid w:val="723914F7"/>
    <w:rsid w:val="724A54B2"/>
    <w:rsid w:val="725B4445"/>
    <w:rsid w:val="726227FC"/>
    <w:rsid w:val="72676064"/>
    <w:rsid w:val="728564EA"/>
    <w:rsid w:val="728C4565"/>
    <w:rsid w:val="72A76461"/>
    <w:rsid w:val="72BF37AA"/>
    <w:rsid w:val="72C139C6"/>
    <w:rsid w:val="72C47013"/>
    <w:rsid w:val="72D336FA"/>
    <w:rsid w:val="72DB435C"/>
    <w:rsid w:val="72FC49FE"/>
    <w:rsid w:val="7317190F"/>
    <w:rsid w:val="731A30D6"/>
    <w:rsid w:val="731D6723"/>
    <w:rsid w:val="73214465"/>
    <w:rsid w:val="73283C31"/>
    <w:rsid w:val="733C129F"/>
    <w:rsid w:val="73426189"/>
    <w:rsid w:val="734B3290"/>
    <w:rsid w:val="73B2330F"/>
    <w:rsid w:val="73B452D9"/>
    <w:rsid w:val="73B8068F"/>
    <w:rsid w:val="73C13552"/>
    <w:rsid w:val="73D70FC8"/>
    <w:rsid w:val="73DB0AB8"/>
    <w:rsid w:val="73EA4857"/>
    <w:rsid w:val="741E6BF6"/>
    <w:rsid w:val="7428537F"/>
    <w:rsid w:val="744F6DB0"/>
    <w:rsid w:val="74806F69"/>
    <w:rsid w:val="74BD640F"/>
    <w:rsid w:val="74D80B53"/>
    <w:rsid w:val="74F6547D"/>
    <w:rsid w:val="74F71921"/>
    <w:rsid w:val="75102F42"/>
    <w:rsid w:val="75114065"/>
    <w:rsid w:val="75126A14"/>
    <w:rsid w:val="75412B9C"/>
    <w:rsid w:val="7544443B"/>
    <w:rsid w:val="754C32EF"/>
    <w:rsid w:val="75630D65"/>
    <w:rsid w:val="756E770A"/>
    <w:rsid w:val="75B570E6"/>
    <w:rsid w:val="75DE03EB"/>
    <w:rsid w:val="75DF4163"/>
    <w:rsid w:val="75EA6D90"/>
    <w:rsid w:val="75EF25F8"/>
    <w:rsid w:val="76085468"/>
    <w:rsid w:val="763E70DC"/>
    <w:rsid w:val="76452218"/>
    <w:rsid w:val="76530DD9"/>
    <w:rsid w:val="765D3A06"/>
    <w:rsid w:val="767C5359"/>
    <w:rsid w:val="768F7938"/>
    <w:rsid w:val="769767EC"/>
    <w:rsid w:val="76A50F09"/>
    <w:rsid w:val="76C21ABB"/>
    <w:rsid w:val="76E732D0"/>
    <w:rsid w:val="76EC2FDC"/>
    <w:rsid w:val="76F53C3E"/>
    <w:rsid w:val="76F854DD"/>
    <w:rsid w:val="77075720"/>
    <w:rsid w:val="77132317"/>
    <w:rsid w:val="771A6E07"/>
    <w:rsid w:val="772B58B2"/>
    <w:rsid w:val="772E0EFE"/>
    <w:rsid w:val="773A3D47"/>
    <w:rsid w:val="773A78A3"/>
    <w:rsid w:val="776963DA"/>
    <w:rsid w:val="77747C82"/>
    <w:rsid w:val="779730D2"/>
    <w:rsid w:val="77E048EF"/>
    <w:rsid w:val="781520BE"/>
    <w:rsid w:val="78160310"/>
    <w:rsid w:val="782350DB"/>
    <w:rsid w:val="783764D9"/>
    <w:rsid w:val="7847671C"/>
    <w:rsid w:val="78485FF0"/>
    <w:rsid w:val="785901FD"/>
    <w:rsid w:val="786D3CA8"/>
    <w:rsid w:val="78743289"/>
    <w:rsid w:val="78882890"/>
    <w:rsid w:val="78A10A94"/>
    <w:rsid w:val="78B418D7"/>
    <w:rsid w:val="78C80EDF"/>
    <w:rsid w:val="78D37FAF"/>
    <w:rsid w:val="790E7239"/>
    <w:rsid w:val="792D4DB3"/>
    <w:rsid w:val="79515378"/>
    <w:rsid w:val="797A48CF"/>
    <w:rsid w:val="79955265"/>
    <w:rsid w:val="799E680F"/>
    <w:rsid w:val="79B3393D"/>
    <w:rsid w:val="79B55907"/>
    <w:rsid w:val="79C859F3"/>
    <w:rsid w:val="79DE5F13"/>
    <w:rsid w:val="79EB757B"/>
    <w:rsid w:val="7A462A03"/>
    <w:rsid w:val="7A6D61E2"/>
    <w:rsid w:val="7A7B08FF"/>
    <w:rsid w:val="7A7F1A71"/>
    <w:rsid w:val="7AA02113"/>
    <w:rsid w:val="7AC878BC"/>
    <w:rsid w:val="7AD324E9"/>
    <w:rsid w:val="7AD718AD"/>
    <w:rsid w:val="7ADB75EF"/>
    <w:rsid w:val="7AE2272C"/>
    <w:rsid w:val="7AEC5358"/>
    <w:rsid w:val="7B340AAD"/>
    <w:rsid w:val="7B343644"/>
    <w:rsid w:val="7B544DE1"/>
    <w:rsid w:val="7B551150"/>
    <w:rsid w:val="7B6F1AE6"/>
    <w:rsid w:val="7B811F45"/>
    <w:rsid w:val="7B8A691F"/>
    <w:rsid w:val="7B9D0BEA"/>
    <w:rsid w:val="7BB75966"/>
    <w:rsid w:val="7BC97448"/>
    <w:rsid w:val="7BD5403F"/>
    <w:rsid w:val="7C1A5EF5"/>
    <w:rsid w:val="7C547659"/>
    <w:rsid w:val="7C6F7FEF"/>
    <w:rsid w:val="7C765821"/>
    <w:rsid w:val="7C935EA0"/>
    <w:rsid w:val="7C9E08D4"/>
    <w:rsid w:val="7CAA7279"/>
    <w:rsid w:val="7CC12815"/>
    <w:rsid w:val="7CC83BA3"/>
    <w:rsid w:val="7CCA791B"/>
    <w:rsid w:val="7CD75B94"/>
    <w:rsid w:val="7CE00EED"/>
    <w:rsid w:val="7CEF1130"/>
    <w:rsid w:val="7D37524A"/>
    <w:rsid w:val="7D9677FD"/>
    <w:rsid w:val="7DC600E3"/>
    <w:rsid w:val="7DC75C09"/>
    <w:rsid w:val="7DD50326"/>
    <w:rsid w:val="7DD547CA"/>
    <w:rsid w:val="7DE71E07"/>
    <w:rsid w:val="7E186464"/>
    <w:rsid w:val="7E631DD5"/>
    <w:rsid w:val="7E7A2C7B"/>
    <w:rsid w:val="7E9957F7"/>
    <w:rsid w:val="7EAF0B77"/>
    <w:rsid w:val="7ED44A81"/>
    <w:rsid w:val="7EEF3669"/>
    <w:rsid w:val="7F007624"/>
    <w:rsid w:val="7F0D3AEF"/>
    <w:rsid w:val="7F196938"/>
    <w:rsid w:val="7F3948E4"/>
    <w:rsid w:val="7F3D2627"/>
    <w:rsid w:val="7F567244"/>
    <w:rsid w:val="7F587460"/>
    <w:rsid w:val="7F69341C"/>
    <w:rsid w:val="7F6C6A68"/>
    <w:rsid w:val="7F800765"/>
    <w:rsid w:val="7F8503AD"/>
    <w:rsid w:val="7F8E2E82"/>
    <w:rsid w:val="7FA776B3"/>
    <w:rsid w:val="7FBF128D"/>
    <w:rsid w:val="7FD64829"/>
    <w:rsid w:val="7FE376CD"/>
    <w:rsid w:val="7FED50A7"/>
    <w:rsid w:val="7FF738F9"/>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ind w:firstLine="1802" w:firstLineChars="600"/>
      <w:jc w:val="center"/>
      <w:outlineLvl w:val="0"/>
    </w:pPr>
    <w:rPr>
      <w:rFonts w:ascii="Times New Roman" w:hAnsi="Times New Roman" w:eastAsia="宋体" w:cs="Times New Roman"/>
      <w:b/>
      <w:bCs/>
      <w:sz w:val="30"/>
      <w:szCs w:val="2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4"/>
    <w:qFormat/>
    <w:uiPriority w:val="1"/>
    <w:pPr>
      <w:ind w:left="111"/>
      <w:jc w:val="left"/>
    </w:pPr>
    <w:rPr>
      <w:rFonts w:ascii="仿宋" w:hAnsi="仿宋" w:eastAsia="仿宋"/>
      <w:kern w:val="0"/>
      <w:sz w:val="32"/>
      <w:szCs w:val="32"/>
      <w:lang w:eastAsia="en-US"/>
    </w:rPr>
  </w:style>
  <w:style w:type="paragraph" w:styleId="5">
    <w:name w:val="Date"/>
    <w:basedOn w:val="1"/>
    <w:next w:val="1"/>
    <w:link w:val="26"/>
    <w:unhideWhenUsed/>
    <w:qFormat/>
    <w:uiPriority w:val="99"/>
    <w:pPr>
      <w:ind w:left="100" w:leftChars="2500"/>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Emphasis"/>
    <w:basedOn w:val="10"/>
    <w:qFormat/>
    <w:uiPriority w:val="20"/>
    <w:rPr>
      <w:i/>
    </w:rPr>
  </w:style>
  <w:style w:type="character" w:styleId="13">
    <w:name w:val="Hyperlink"/>
    <w:qFormat/>
    <w:uiPriority w:val="99"/>
    <w:rPr>
      <w:color w:val="0000FF"/>
      <w:spacing w:val="0"/>
      <w:w w:val="100"/>
      <w:szCs w:val="21"/>
      <w:u w:val="single"/>
    </w:rPr>
  </w:style>
  <w:style w:type="character" w:customStyle="1" w:styleId="14">
    <w:name w:val="正文文本 字符"/>
    <w:basedOn w:val="10"/>
    <w:link w:val="4"/>
    <w:qFormat/>
    <w:uiPriority w:val="1"/>
    <w:rPr>
      <w:rFonts w:ascii="仿宋" w:hAnsi="仿宋" w:eastAsia="仿宋"/>
      <w:kern w:val="0"/>
      <w:sz w:val="32"/>
      <w:szCs w:val="32"/>
      <w:lang w:eastAsia="en-US"/>
    </w:rPr>
  </w:style>
  <w:style w:type="paragraph" w:customStyle="1" w:styleId="15">
    <w:name w:val="标题 11"/>
    <w:basedOn w:val="1"/>
    <w:qFormat/>
    <w:uiPriority w:val="1"/>
    <w:pPr>
      <w:jc w:val="left"/>
      <w:outlineLvl w:val="1"/>
    </w:pPr>
    <w:rPr>
      <w:rFonts w:ascii="PMingLiU" w:hAnsi="PMingLiU" w:eastAsia="PMingLiU"/>
      <w:kern w:val="0"/>
      <w:sz w:val="44"/>
      <w:szCs w:val="44"/>
      <w:lang w:eastAsia="en-US"/>
    </w:rPr>
  </w:style>
  <w:style w:type="character" w:customStyle="1" w:styleId="16">
    <w:name w:val="页眉 字符"/>
    <w:basedOn w:val="10"/>
    <w:link w:val="7"/>
    <w:qFormat/>
    <w:uiPriority w:val="99"/>
    <w:rPr>
      <w:sz w:val="18"/>
      <w:szCs w:val="18"/>
    </w:rPr>
  </w:style>
  <w:style w:type="character" w:customStyle="1" w:styleId="17">
    <w:name w:val="页脚 字符"/>
    <w:basedOn w:val="10"/>
    <w:link w:val="6"/>
    <w:qFormat/>
    <w:uiPriority w:val="99"/>
    <w:rPr>
      <w:sz w:val="18"/>
      <w:szCs w:val="18"/>
    </w:rPr>
  </w:style>
  <w:style w:type="paragraph" w:customStyle="1" w:styleId="18">
    <w:name w:val="段"/>
    <w:link w:val="1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9">
    <w:name w:val="段 Char"/>
    <w:link w:val="18"/>
    <w:qFormat/>
    <w:locked/>
    <w:uiPriority w:val="0"/>
    <w:rPr>
      <w:rFonts w:ascii="宋体" w:hAnsi="Times New Roman" w:eastAsia="宋体" w:cs="Times New Roman"/>
      <w:kern w:val="0"/>
      <w:szCs w:val="20"/>
    </w:rPr>
  </w:style>
  <w:style w:type="paragraph" w:customStyle="1" w:styleId="20">
    <w:name w:val="三级条标题"/>
    <w:basedOn w:val="21"/>
    <w:next w:val="18"/>
    <w:qFormat/>
    <w:uiPriority w:val="0"/>
    <w:pPr>
      <w:numPr>
        <w:ilvl w:val="3"/>
      </w:numPr>
      <w:outlineLvl w:val="4"/>
    </w:pPr>
  </w:style>
  <w:style w:type="paragraph" w:customStyle="1" w:styleId="21">
    <w:name w:val="二级条标题"/>
    <w:basedOn w:val="22"/>
    <w:next w:val="18"/>
    <w:qFormat/>
    <w:uiPriority w:val="0"/>
    <w:pPr>
      <w:numPr>
        <w:ilvl w:val="2"/>
      </w:numPr>
      <w:spacing w:before="50" w:after="50"/>
      <w:outlineLvl w:val="3"/>
    </w:pPr>
  </w:style>
  <w:style w:type="paragraph" w:customStyle="1" w:styleId="22">
    <w:name w:val="一级条标题"/>
    <w:next w:val="18"/>
    <w:link w:val="27"/>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3">
    <w:name w:val="五级条标题"/>
    <w:basedOn w:val="1"/>
    <w:next w:val="18"/>
    <w:qFormat/>
    <w:uiPriority w:val="0"/>
    <w:pPr>
      <w:widowControl/>
      <w:numPr>
        <w:ilvl w:val="5"/>
        <w:numId w:val="1"/>
      </w:numPr>
      <w:spacing w:beforeLines="50" w:afterLines="50"/>
      <w:jc w:val="left"/>
      <w:outlineLvl w:val="6"/>
    </w:pPr>
    <w:rPr>
      <w:rFonts w:ascii="黑体" w:hAnsi="Times New Roman" w:eastAsia="黑体" w:cs="Times New Roman"/>
      <w:kern w:val="0"/>
      <w:szCs w:val="21"/>
    </w:rPr>
  </w:style>
  <w:style w:type="paragraph" w:customStyle="1" w:styleId="24">
    <w:name w:val="章标题"/>
    <w:next w:val="1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character" w:customStyle="1" w:styleId="25">
    <w:name w:val="标题 1 字符"/>
    <w:basedOn w:val="10"/>
    <w:link w:val="2"/>
    <w:qFormat/>
    <w:uiPriority w:val="0"/>
    <w:rPr>
      <w:rFonts w:ascii="Times New Roman" w:hAnsi="Times New Roman" w:eastAsia="宋体" w:cs="Times New Roman"/>
      <w:b/>
      <w:bCs/>
      <w:sz w:val="30"/>
      <w:szCs w:val="20"/>
    </w:rPr>
  </w:style>
  <w:style w:type="character" w:customStyle="1" w:styleId="26">
    <w:name w:val="日期 字符"/>
    <w:basedOn w:val="10"/>
    <w:link w:val="5"/>
    <w:qFormat/>
    <w:uiPriority w:val="99"/>
  </w:style>
  <w:style w:type="character" w:customStyle="1" w:styleId="27">
    <w:name w:val="一级条标题 Char Char"/>
    <w:link w:val="22"/>
    <w:qFormat/>
    <w:locked/>
    <w:uiPriority w:val="0"/>
    <w:rPr>
      <w:rFonts w:ascii="黑体" w:hAnsi="Times New Roman" w:eastAsia="黑体" w:cs="Times New Roman"/>
      <w:kern w:val="0"/>
      <w:szCs w:val="21"/>
    </w:rPr>
  </w:style>
  <w:style w:type="paragraph" w:customStyle="1" w:styleId="2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Joyoung</Company>
  <Pages>5</Pages>
  <Words>4516</Words>
  <Characters>4719</Characters>
  <Lines>364</Lines>
  <Paragraphs>425</Paragraphs>
  <TotalTime>42</TotalTime>
  <ScaleCrop>false</ScaleCrop>
  <LinksUpToDate>false</LinksUpToDate>
  <CharactersWithSpaces>4771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2020-05-13T05:17:00Z</dcterms:created>
  <dc:creator>蔡军</dc:creator>
  <cp:lastModifiedBy>Andy litie</cp:lastModifiedBy>
  <dcterms:modified xsi:type="dcterms:W3CDTF">2026-06-23T03:18:43Z</dcterms:modified>
  <cp:revision>313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eyJoZGlkIjoiZWQ4MDcyYjQ0NTcxMDJjYTVjM2I5OTAwN2M3YmQzNGQiLCJ1c2VySWQiOiIxMDE5NjIwMzc1In0=</vt:lpwstr>
  </property>
  <property fmtid="{D5CDD505-2E9C-101B-9397-08002B2CF9AE}" pid="3" name="KSOProductBuildVer">
    <vt:lpwstr>2052-12.1.0.26895</vt:lpwstr>
  </property>
  <property fmtid="{D5CDD505-2E9C-101B-9397-08002B2CF9AE}" pid="4" name="ICV">
    <vt:lpwstr>AA9F3DE6AB094CD5832F161523D2956D_12</vt:lpwstr>
  </property>
</Properties>
</file>